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3D9" w:rsidRPr="00B3094D" w:rsidRDefault="001263D9">
      <w:pPr>
        <w:rPr>
          <w:rFonts w:ascii="Bookman Old Style" w:hAnsi="Bookman Old Style" w:cs="Times New Roman"/>
          <w:color w:val="000000" w:themeColor="text1"/>
          <w:sz w:val="24"/>
          <w:szCs w:val="24"/>
        </w:rPr>
      </w:pPr>
      <w:bookmarkStart w:id="0" w:name="_GoBack"/>
      <w:bookmarkEnd w:id="0"/>
    </w:p>
    <w:p w:rsidR="001263D9" w:rsidRPr="00B3094D" w:rsidRDefault="001263D9">
      <w:pPr>
        <w:rPr>
          <w:rFonts w:ascii="Bookman Old Style" w:hAnsi="Bookman Old Style" w:cs="Times New Roman"/>
          <w:color w:val="000000" w:themeColor="text1"/>
          <w:sz w:val="24"/>
          <w:szCs w:val="24"/>
        </w:rPr>
      </w:pPr>
    </w:p>
    <w:p w:rsidR="001263D9" w:rsidRPr="00B3094D" w:rsidRDefault="001263D9" w:rsidP="001263D9">
      <w:pPr>
        <w:jc w:val="center"/>
        <w:rPr>
          <w:rFonts w:ascii="Bookman Old Style" w:hAnsi="Bookman Old Style" w:cs="Times New Roman"/>
          <w:color w:val="000000" w:themeColor="text1"/>
          <w:sz w:val="24"/>
          <w:szCs w:val="24"/>
        </w:rPr>
      </w:pPr>
    </w:p>
    <w:p w:rsidR="001263D9" w:rsidRPr="00B3094D" w:rsidRDefault="001263D9"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5072D8" w:rsidRPr="00B3094D" w:rsidRDefault="005072D8" w:rsidP="001263D9">
      <w:pPr>
        <w:jc w:val="center"/>
        <w:rPr>
          <w:rFonts w:ascii="Bookman Old Style" w:hAnsi="Bookman Old Style" w:cs="Times New Roman"/>
          <w:color w:val="000000" w:themeColor="text1"/>
          <w:sz w:val="24"/>
          <w:szCs w:val="24"/>
        </w:rPr>
      </w:pPr>
    </w:p>
    <w:p w:rsidR="00BD0C3E" w:rsidRPr="00B3094D" w:rsidRDefault="001263D9" w:rsidP="001263D9">
      <w:pPr>
        <w:jc w:val="center"/>
        <w:rPr>
          <w:rFonts w:ascii="Bookman Old Style" w:hAnsi="Bookman Old Style" w:cs="Times New Roman"/>
          <w:b/>
          <w:color w:val="000000" w:themeColor="text1"/>
          <w:sz w:val="28"/>
          <w:szCs w:val="28"/>
        </w:rPr>
      </w:pPr>
      <w:r w:rsidRPr="00B3094D">
        <w:rPr>
          <w:rFonts w:ascii="Bookman Old Style" w:hAnsi="Bookman Old Style" w:cs="Times New Roman"/>
          <w:b/>
          <w:color w:val="000000" w:themeColor="text1"/>
          <w:sz w:val="28"/>
          <w:szCs w:val="28"/>
        </w:rPr>
        <w:t xml:space="preserve">Relatório </w:t>
      </w:r>
      <w:r w:rsidR="00C67879">
        <w:rPr>
          <w:rFonts w:ascii="Bookman Old Style" w:hAnsi="Bookman Old Style" w:cs="Times New Roman"/>
          <w:b/>
          <w:color w:val="000000" w:themeColor="text1"/>
          <w:sz w:val="28"/>
          <w:szCs w:val="28"/>
        </w:rPr>
        <w:t>de Avaliação</w:t>
      </w:r>
      <w:r w:rsidRPr="00B3094D">
        <w:rPr>
          <w:rFonts w:ascii="Bookman Old Style" w:hAnsi="Bookman Old Style" w:cs="Times New Roman"/>
          <w:b/>
          <w:color w:val="000000" w:themeColor="text1"/>
          <w:sz w:val="28"/>
          <w:szCs w:val="28"/>
        </w:rPr>
        <w:t xml:space="preserve"> do Plano Municipal de Educação</w:t>
      </w:r>
      <w:r w:rsidR="00AE775E" w:rsidRPr="00B3094D">
        <w:rPr>
          <w:rFonts w:ascii="Bookman Old Style" w:hAnsi="Bookman Old Style" w:cs="Times New Roman"/>
          <w:b/>
          <w:color w:val="000000" w:themeColor="text1"/>
          <w:sz w:val="28"/>
          <w:szCs w:val="28"/>
        </w:rPr>
        <w:t xml:space="preserve"> – PM</w:t>
      </w:r>
      <w:r w:rsidR="005B2756" w:rsidRPr="00B3094D">
        <w:rPr>
          <w:rFonts w:ascii="Bookman Old Style" w:hAnsi="Bookman Old Style" w:cs="Times New Roman"/>
          <w:b/>
          <w:color w:val="000000" w:themeColor="text1"/>
          <w:sz w:val="28"/>
          <w:szCs w:val="28"/>
        </w:rPr>
        <w:t>E de Paulo Bento - RS</w:t>
      </w:r>
    </w:p>
    <w:p w:rsidR="00AC4D45" w:rsidRPr="00B3094D" w:rsidRDefault="00AC4D45" w:rsidP="00AC4D45">
      <w:pPr>
        <w:jc w:val="center"/>
        <w:rPr>
          <w:rFonts w:ascii="Bookman Old Style" w:hAnsi="Bookman Old Style" w:cs="Times New Roman"/>
          <w:b/>
          <w:color w:val="000000" w:themeColor="text1"/>
          <w:sz w:val="28"/>
          <w:szCs w:val="28"/>
        </w:rPr>
      </w:pPr>
      <w:r w:rsidRPr="00B3094D">
        <w:rPr>
          <w:rFonts w:ascii="Bookman Old Style" w:hAnsi="Bookman Old Style" w:cs="Times New Roman"/>
          <w:b/>
          <w:color w:val="000000" w:themeColor="text1"/>
          <w:sz w:val="28"/>
          <w:szCs w:val="28"/>
        </w:rPr>
        <w:t xml:space="preserve">Lei Municipal </w:t>
      </w:r>
      <w:r w:rsidR="005B2756" w:rsidRPr="00B3094D">
        <w:rPr>
          <w:rFonts w:ascii="Bookman Old Style" w:hAnsi="Bookman Old Style" w:cs="Times New Roman"/>
          <w:b/>
          <w:color w:val="000000" w:themeColor="text1"/>
          <w:sz w:val="28"/>
          <w:szCs w:val="28"/>
        </w:rPr>
        <w:t>nº. 1538 de 09 de junho de 2015.</w:t>
      </w:r>
    </w:p>
    <w:p w:rsidR="0046092F" w:rsidRDefault="0046092F" w:rsidP="001263D9">
      <w:pPr>
        <w:jc w:val="center"/>
        <w:rPr>
          <w:rFonts w:ascii="Bookman Old Style" w:hAnsi="Bookman Old Style" w:cs="Times New Roman"/>
          <w:b/>
          <w:color w:val="000000" w:themeColor="text1"/>
          <w:sz w:val="28"/>
          <w:szCs w:val="28"/>
        </w:rPr>
      </w:pPr>
    </w:p>
    <w:p w:rsidR="00887987" w:rsidRPr="00B3094D" w:rsidRDefault="00887987" w:rsidP="001263D9">
      <w:pPr>
        <w:jc w:val="center"/>
        <w:rPr>
          <w:rFonts w:ascii="Bookman Old Style" w:hAnsi="Bookman Old Style" w:cs="Times New Roman"/>
          <w:color w:val="000000" w:themeColor="text1"/>
          <w:sz w:val="28"/>
          <w:szCs w:val="28"/>
        </w:rPr>
      </w:pPr>
    </w:p>
    <w:p w:rsidR="0046092F" w:rsidRPr="00B3094D" w:rsidRDefault="0046092F" w:rsidP="001263D9">
      <w:pPr>
        <w:jc w:val="center"/>
        <w:rPr>
          <w:rFonts w:ascii="Bookman Old Style" w:hAnsi="Bookman Old Style" w:cs="Times New Roman"/>
          <w:color w:val="000000" w:themeColor="text1"/>
          <w:sz w:val="28"/>
          <w:szCs w:val="28"/>
        </w:rPr>
      </w:pPr>
    </w:p>
    <w:p w:rsidR="0046092F" w:rsidRPr="00B3094D" w:rsidRDefault="0046092F" w:rsidP="001263D9">
      <w:pPr>
        <w:jc w:val="center"/>
        <w:rPr>
          <w:rFonts w:ascii="Bookman Old Style" w:hAnsi="Bookman Old Style" w:cs="Times New Roman"/>
          <w:color w:val="000000" w:themeColor="text1"/>
          <w:sz w:val="28"/>
          <w:szCs w:val="28"/>
        </w:rPr>
      </w:pPr>
    </w:p>
    <w:p w:rsidR="005072D8" w:rsidRPr="00B3094D" w:rsidRDefault="005072D8" w:rsidP="001263D9">
      <w:pPr>
        <w:jc w:val="center"/>
        <w:rPr>
          <w:rFonts w:ascii="Bookman Old Style" w:hAnsi="Bookman Old Style" w:cs="Times New Roman"/>
          <w:color w:val="000000" w:themeColor="text1"/>
          <w:sz w:val="28"/>
          <w:szCs w:val="28"/>
        </w:rPr>
      </w:pPr>
    </w:p>
    <w:p w:rsidR="006F0E49" w:rsidRPr="00B3094D" w:rsidRDefault="006F0E49" w:rsidP="001263D9">
      <w:pPr>
        <w:jc w:val="center"/>
        <w:rPr>
          <w:rFonts w:ascii="Bookman Old Style" w:hAnsi="Bookman Old Style" w:cs="Times New Roman"/>
          <w:color w:val="000000" w:themeColor="text1"/>
          <w:sz w:val="28"/>
          <w:szCs w:val="28"/>
        </w:rPr>
      </w:pPr>
    </w:p>
    <w:p w:rsidR="006B68B5" w:rsidRPr="00B3094D" w:rsidRDefault="006B68B5" w:rsidP="001263D9">
      <w:pPr>
        <w:jc w:val="center"/>
        <w:rPr>
          <w:rFonts w:ascii="Bookman Old Style" w:hAnsi="Bookman Old Style" w:cs="Times New Roman"/>
          <w:color w:val="000000" w:themeColor="text1"/>
          <w:sz w:val="28"/>
          <w:szCs w:val="28"/>
        </w:rPr>
      </w:pPr>
    </w:p>
    <w:p w:rsidR="005B2756" w:rsidRPr="00B3094D" w:rsidRDefault="005B2756" w:rsidP="001263D9">
      <w:pPr>
        <w:jc w:val="center"/>
        <w:rPr>
          <w:rFonts w:ascii="Bookman Old Style" w:hAnsi="Bookman Old Style" w:cs="Times New Roman"/>
          <w:color w:val="000000" w:themeColor="text1"/>
          <w:sz w:val="28"/>
          <w:szCs w:val="28"/>
        </w:rPr>
      </w:pPr>
    </w:p>
    <w:p w:rsidR="005B2756" w:rsidRPr="00B3094D" w:rsidRDefault="005B2756" w:rsidP="001263D9">
      <w:pPr>
        <w:jc w:val="center"/>
        <w:rPr>
          <w:rFonts w:ascii="Bookman Old Style" w:hAnsi="Bookman Old Style" w:cs="Times New Roman"/>
          <w:color w:val="000000" w:themeColor="text1"/>
          <w:sz w:val="28"/>
          <w:szCs w:val="28"/>
        </w:rPr>
      </w:pPr>
      <w:r w:rsidRPr="00B3094D">
        <w:rPr>
          <w:rFonts w:ascii="Bookman Old Style" w:hAnsi="Bookman Old Style" w:cs="Times New Roman"/>
          <w:color w:val="000000" w:themeColor="text1"/>
          <w:sz w:val="28"/>
          <w:szCs w:val="28"/>
        </w:rPr>
        <w:t>Paulo Bento – RS, novembro de 2017.</w:t>
      </w:r>
    </w:p>
    <w:p w:rsidR="0046092F" w:rsidRPr="00B3094D" w:rsidRDefault="0046092F" w:rsidP="001263D9">
      <w:pPr>
        <w:jc w:val="center"/>
        <w:rPr>
          <w:rFonts w:ascii="Bookman Old Style" w:hAnsi="Bookman Old Style" w:cs="Times New Roman"/>
          <w:color w:val="000000" w:themeColor="text1"/>
          <w:sz w:val="28"/>
          <w:szCs w:val="28"/>
        </w:rPr>
      </w:pPr>
    </w:p>
    <w:p w:rsidR="005B2756" w:rsidRPr="00B3094D" w:rsidRDefault="005B2756" w:rsidP="001263D9">
      <w:pPr>
        <w:jc w:val="center"/>
        <w:rPr>
          <w:rFonts w:ascii="Bookman Old Style" w:hAnsi="Bookman Old Style" w:cs="Times New Roman"/>
          <w:color w:val="000000" w:themeColor="text1"/>
          <w:sz w:val="28"/>
          <w:szCs w:val="28"/>
        </w:rPr>
      </w:pPr>
    </w:p>
    <w:p w:rsidR="00AC7EF4" w:rsidRPr="00B3094D" w:rsidRDefault="00AC7EF4" w:rsidP="001263D9">
      <w:pPr>
        <w:jc w:val="center"/>
        <w:rPr>
          <w:rFonts w:ascii="Bookman Old Style" w:hAnsi="Bookman Old Style" w:cs="Times New Roman"/>
          <w:color w:val="000000" w:themeColor="text1"/>
          <w:sz w:val="28"/>
          <w:szCs w:val="28"/>
        </w:rPr>
      </w:pPr>
    </w:p>
    <w:p w:rsidR="0011736C" w:rsidRPr="00B3094D" w:rsidRDefault="005072D8" w:rsidP="005072D8">
      <w:pPr>
        <w:pStyle w:val="PargrafodaLista"/>
        <w:numPr>
          <w:ilvl w:val="0"/>
          <w:numId w:val="12"/>
        </w:numP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RESPONSÁVEIS PELA ELABORAÇÃO DO RELATÓRIO ANUAL DE MONITORAMENTO:</w:t>
      </w:r>
    </w:p>
    <w:p w:rsidR="006809C7" w:rsidRPr="00B3094D" w:rsidRDefault="006809C7" w:rsidP="000C317A">
      <w:pPr>
        <w:contextualSpacing/>
        <w:jc w:val="center"/>
        <w:rPr>
          <w:rFonts w:ascii="Bookman Old Style" w:hAnsi="Bookman Old Style" w:cs="Times New Roman"/>
          <w:b/>
          <w:bCs/>
          <w:color w:val="000000" w:themeColor="text1"/>
          <w:sz w:val="24"/>
          <w:szCs w:val="24"/>
        </w:rPr>
      </w:pPr>
    </w:p>
    <w:p w:rsidR="006809C7" w:rsidRPr="00B3094D" w:rsidRDefault="006809C7" w:rsidP="006809C7">
      <w:pPr>
        <w:jc w:val="cente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COMISSÃO COORDENADORA</w:t>
      </w:r>
      <w:r w:rsidR="006158ED" w:rsidRPr="00B3094D">
        <w:rPr>
          <w:rFonts w:ascii="Bookman Old Style" w:hAnsi="Bookman Old Style" w:cs="Times New Roman"/>
          <w:b/>
          <w:color w:val="000000" w:themeColor="text1"/>
          <w:sz w:val="24"/>
          <w:szCs w:val="24"/>
        </w:rPr>
        <w:t xml:space="preserve"> GERAL DO PME:</w:t>
      </w:r>
    </w:p>
    <w:p w:rsidR="006158ED" w:rsidRPr="00B3094D" w:rsidRDefault="00A40A3E" w:rsidP="006809C7">
      <w:pPr>
        <w:jc w:val="cente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Portaria</w:t>
      </w:r>
      <w:r w:rsidR="006158ED" w:rsidRPr="00B3094D">
        <w:rPr>
          <w:rFonts w:ascii="Bookman Old Style" w:hAnsi="Bookman Old Style" w:cs="Times New Roman"/>
          <w:b/>
          <w:color w:val="000000" w:themeColor="text1"/>
          <w:sz w:val="24"/>
          <w:szCs w:val="24"/>
        </w:rPr>
        <w:t xml:space="preserve"> Municipal nº. 252 de 27 de dezembro de 2016.</w:t>
      </w:r>
    </w:p>
    <w:p w:rsidR="006809C7" w:rsidRPr="00B3094D" w:rsidRDefault="006809C7" w:rsidP="006809C7">
      <w:pPr>
        <w:jc w:val="center"/>
        <w:rPr>
          <w:rFonts w:ascii="Bookman Old Style" w:hAnsi="Bookman Old Style" w:cs="Times New Roman"/>
          <w:b/>
          <w:color w:val="000000" w:themeColor="text1"/>
          <w:sz w:val="24"/>
          <w:szCs w:val="24"/>
        </w:rPr>
      </w:pPr>
    </w:p>
    <w:p w:rsidR="006809C7" w:rsidRPr="00B3094D" w:rsidRDefault="006158ED" w:rsidP="00A40A3E">
      <w:pPr>
        <w:pStyle w:val="PargrafodaLista"/>
        <w:numPr>
          <w:ilvl w:val="0"/>
          <w:numId w:val="21"/>
        </w:numPr>
        <w:spacing w:line="360" w:lineRule="auto"/>
        <w:ind w:left="714" w:hanging="357"/>
        <w:jc w:val="both"/>
        <w:rPr>
          <w:rFonts w:ascii="Bookman Old Style" w:hAnsi="Bookman Old Style" w:cs="Times New Roman"/>
          <w:bCs/>
          <w:color w:val="000000" w:themeColor="text1"/>
          <w:sz w:val="24"/>
          <w:szCs w:val="24"/>
        </w:rPr>
      </w:pPr>
      <w:r w:rsidRPr="00B3094D">
        <w:rPr>
          <w:rFonts w:ascii="Bookman Old Style" w:hAnsi="Bookman Old Style" w:cs="Times New Roman"/>
          <w:b/>
          <w:bCs/>
          <w:color w:val="000000" w:themeColor="text1"/>
          <w:sz w:val="24"/>
          <w:szCs w:val="24"/>
        </w:rPr>
        <w:t>DANIEL MARIN –</w:t>
      </w:r>
      <w:r w:rsidRPr="00B3094D">
        <w:rPr>
          <w:rFonts w:ascii="Bookman Old Style" w:hAnsi="Bookman Old Style" w:cs="Times New Roman"/>
          <w:bCs/>
          <w:color w:val="000000" w:themeColor="text1"/>
          <w:sz w:val="24"/>
          <w:szCs w:val="24"/>
        </w:rPr>
        <w:t xml:space="preserve"> representante do Conselho Municipal dos Direitos da Criança e do Adolescente de Paulo Bento</w:t>
      </w:r>
      <w:r w:rsidR="00A40A3E" w:rsidRPr="00B3094D">
        <w:rPr>
          <w:rFonts w:ascii="Bookman Old Style" w:hAnsi="Bookman Old Style" w:cs="Times New Roman"/>
          <w:bCs/>
          <w:color w:val="000000" w:themeColor="text1"/>
          <w:sz w:val="24"/>
          <w:szCs w:val="24"/>
        </w:rPr>
        <w:t>;</w:t>
      </w:r>
    </w:p>
    <w:p w:rsidR="006158ED"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bCs/>
          <w:color w:val="000000" w:themeColor="text1"/>
          <w:sz w:val="24"/>
          <w:szCs w:val="24"/>
        </w:rPr>
      </w:pPr>
      <w:r w:rsidRPr="00B3094D">
        <w:rPr>
          <w:rFonts w:ascii="Bookman Old Style" w:hAnsi="Bookman Old Style" w:cs="Times New Roman"/>
          <w:b/>
          <w:bCs/>
          <w:color w:val="000000" w:themeColor="text1"/>
          <w:sz w:val="24"/>
          <w:szCs w:val="24"/>
        </w:rPr>
        <w:t>PRISCILA POMPERMAIER FARIKOSKI –</w:t>
      </w:r>
      <w:r w:rsidRPr="00B3094D">
        <w:rPr>
          <w:rFonts w:ascii="Bookman Old Style" w:hAnsi="Bookman Old Style" w:cs="Times New Roman"/>
          <w:bCs/>
          <w:color w:val="000000" w:themeColor="text1"/>
          <w:sz w:val="24"/>
          <w:szCs w:val="24"/>
        </w:rPr>
        <w:t xml:space="preserve"> </w:t>
      </w:r>
      <w:proofErr w:type="gramStart"/>
      <w:r w:rsidRPr="00B3094D">
        <w:rPr>
          <w:rFonts w:ascii="Bookman Old Style" w:hAnsi="Bookman Old Style" w:cs="Times New Roman"/>
          <w:bCs/>
          <w:color w:val="000000" w:themeColor="text1"/>
          <w:sz w:val="24"/>
          <w:szCs w:val="24"/>
        </w:rPr>
        <w:t>Representante do Sindicato dos Servidores Públicos Municipais</w:t>
      </w:r>
      <w:proofErr w:type="gramEnd"/>
      <w:r w:rsidRPr="00B3094D">
        <w:rPr>
          <w:rFonts w:ascii="Bookman Old Style" w:hAnsi="Bookman Old Style" w:cs="Times New Roman"/>
          <w:bCs/>
          <w:color w:val="000000" w:themeColor="text1"/>
          <w:sz w:val="24"/>
          <w:szCs w:val="24"/>
        </w:rPr>
        <w:t>;</w:t>
      </w:r>
    </w:p>
    <w:p w:rsidR="00A40A3E"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color w:val="000000" w:themeColor="text1"/>
          <w:sz w:val="24"/>
          <w:szCs w:val="24"/>
        </w:rPr>
      </w:pPr>
      <w:r w:rsidRPr="00B3094D">
        <w:rPr>
          <w:rFonts w:ascii="Bookman Old Style" w:hAnsi="Bookman Old Style" w:cs="Times New Roman"/>
          <w:b/>
          <w:bCs/>
          <w:color w:val="000000" w:themeColor="text1"/>
          <w:sz w:val="24"/>
          <w:szCs w:val="24"/>
        </w:rPr>
        <w:t xml:space="preserve">VANDERSON DE ALBUQUERQUE – </w:t>
      </w:r>
      <w:r w:rsidRPr="00B3094D">
        <w:rPr>
          <w:rFonts w:ascii="Bookman Old Style" w:hAnsi="Bookman Old Style" w:cs="Times New Roman"/>
          <w:bCs/>
          <w:color w:val="000000" w:themeColor="text1"/>
          <w:sz w:val="24"/>
          <w:szCs w:val="24"/>
        </w:rPr>
        <w:t>Representante da Secretaria Municipal da Fazenda, Indústria e Comércio.</w:t>
      </w:r>
    </w:p>
    <w:p w:rsidR="006809C7" w:rsidRPr="00B3094D" w:rsidRDefault="006809C7" w:rsidP="000C317A">
      <w:pPr>
        <w:contextualSpacing/>
        <w:jc w:val="center"/>
        <w:rPr>
          <w:rFonts w:ascii="Bookman Old Style" w:hAnsi="Bookman Old Style" w:cs="Times New Roman"/>
          <w:b/>
          <w:bCs/>
          <w:color w:val="000000" w:themeColor="text1"/>
          <w:sz w:val="24"/>
          <w:szCs w:val="24"/>
        </w:rPr>
      </w:pPr>
    </w:p>
    <w:p w:rsidR="006809C7" w:rsidRPr="00B3094D" w:rsidRDefault="006809C7" w:rsidP="000C317A">
      <w:pPr>
        <w:contextualSpacing/>
        <w:jc w:val="center"/>
        <w:rPr>
          <w:rFonts w:ascii="Bookman Old Style" w:hAnsi="Bookman Old Style" w:cs="Times New Roman"/>
          <w:b/>
          <w:bCs/>
          <w:color w:val="000000" w:themeColor="text1"/>
          <w:sz w:val="24"/>
          <w:szCs w:val="24"/>
        </w:rPr>
      </w:pPr>
    </w:p>
    <w:p w:rsidR="000438B7" w:rsidRPr="00B3094D" w:rsidRDefault="005072D8" w:rsidP="00A40A3E">
      <w:pPr>
        <w:spacing w:line="360" w:lineRule="auto"/>
        <w:contextualSpacing/>
        <w:jc w:val="center"/>
        <w:rPr>
          <w:rFonts w:ascii="Bookman Old Style" w:hAnsi="Bookman Old Style" w:cs="Times New Roman"/>
          <w:b/>
          <w:bCs/>
          <w:color w:val="000000" w:themeColor="text1"/>
          <w:sz w:val="24"/>
          <w:szCs w:val="24"/>
        </w:rPr>
      </w:pPr>
      <w:r w:rsidRPr="00B3094D">
        <w:rPr>
          <w:rFonts w:ascii="Bookman Old Style" w:hAnsi="Bookman Old Style" w:cs="Times New Roman"/>
          <w:b/>
          <w:bCs/>
          <w:color w:val="000000" w:themeColor="text1"/>
          <w:sz w:val="24"/>
          <w:szCs w:val="24"/>
        </w:rPr>
        <w:t>EQUIPE TÉCNICA DO PME:</w:t>
      </w:r>
    </w:p>
    <w:p w:rsidR="00A40A3E" w:rsidRPr="00B3094D" w:rsidRDefault="00A40A3E" w:rsidP="00A40A3E">
      <w:pPr>
        <w:spacing w:line="360" w:lineRule="auto"/>
        <w:contextualSpacing/>
        <w:jc w:val="center"/>
        <w:rPr>
          <w:rFonts w:ascii="Bookman Old Style" w:hAnsi="Bookman Old Style" w:cs="Times New Roman"/>
          <w:b/>
          <w:bCs/>
          <w:color w:val="000000" w:themeColor="text1"/>
          <w:sz w:val="24"/>
          <w:szCs w:val="24"/>
        </w:rPr>
      </w:pPr>
      <w:r w:rsidRPr="00B3094D">
        <w:rPr>
          <w:rFonts w:ascii="Bookman Old Style" w:hAnsi="Bookman Old Style" w:cs="Times New Roman"/>
          <w:b/>
          <w:bCs/>
          <w:color w:val="000000" w:themeColor="text1"/>
          <w:sz w:val="24"/>
          <w:szCs w:val="24"/>
        </w:rPr>
        <w:t>Portaria Municipal nº. 213 de 30 de setembro de 2016.</w:t>
      </w:r>
    </w:p>
    <w:p w:rsidR="00A40A3E" w:rsidRPr="00B3094D" w:rsidRDefault="00A40A3E" w:rsidP="000C317A">
      <w:pPr>
        <w:contextualSpacing/>
        <w:jc w:val="center"/>
        <w:rPr>
          <w:rFonts w:ascii="Bookman Old Style" w:hAnsi="Bookman Old Style" w:cs="Times New Roman"/>
          <w:b/>
          <w:bCs/>
          <w:color w:val="000000" w:themeColor="text1"/>
          <w:sz w:val="24"/>
          <w:szCs w:val="24"/>
        </w:rPr>
      </w:pPr>
    </w:p>
    <w:p w:rsidR="00A40A3E"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bCs/>
          <w:color w:val="000000" w:themeColor="text1"/>
          <w:sz w:val="24"/>
          <w:szCs w:val="24"/>
        </w:rPr>
      </w:pPr>
      <w:r w:rsidRPr="00B3094D">
        <w:rPr>
          <w:rFonts w:ascii="Bookman Old Style" w:hAnsi="Bookman Old Style" w:cs="Times New Roman"/>
          <w:b/>
          <w:bCs/>
          <w:color w:val="000000" w:themeColor="text1"/>
          <w:sz w:val="24"/>
          <w:szCs w:val="24"/>
        </w:rPr>
        <w:t>DANIEL MARIN –</w:t>
      </w:r>
      <w:r w:rsidRPr="00B3094D">
        <w:rPr>
          <w:rFonts w:ascii="Bookman Old Style" w:hAnsi="Bookman Old Style" w:cs="Times New Roman"/>
          <w:bCs/>
          <w:color w:val="000000" w:themeColor="text1"/>
          <w:sz w:val="24"/>
          <w:szCs w:val="24"/>
        </w:rPr>
        <w:t xml:space="preserve"> representante do Conselho Municipal de Educação;</w:t>
      </w:r>
    </w:p>
    <w:p w:rsidR="00A40A3E"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bCs/>
          <w:color w:val="000000" w:themeColor="text1"/>
          <w:sz w:val="24"/>
          <w:szCs w:val="24"/>
        </w:rPr>
      </w:pPr>
      <w:r w:rsidRPr="00B3094D">
        <w:rPr>
          <w:rFonts w:ascii="Bookman Old Style" w:hAnsi="Bookman Old Style" w:cs="Times New Roman"/>
          <w:b/>
          <w:bCs/>
          <w:color w:val="000000" w:themeColor="text1"/>
          <w:sz w:val="24"/>
          <w:szCs w:val="24"/>
        </w:rPr>
        <w:t>LUCI CLÁUDIA W. GOETEMS –</w:t>
      </w:r>
      <w:r w:rsidRPr="00B3094D">
        <w:rPr>
          <w:rFonts w:ascii="Bookman Old Style" w:hAnsi="Bookman Old Style" w:cs="Times New Roman"/>
          <w:bCs/>
          <w:color w:val="000000" w:themeColor="text1"/>
          <w:sz w:val="24"/>
          <w:szCs w:val="24"/>
        </w:rPr>
        <w:t xml:space="preserve"> Representante da Secretaria Municipal de Educação, Cultura, Desporto e Turismo;</w:t>
      </w:r>
    </w:p>
    <w:p w:rsidR="00A40A3E" w:rsidRPr="00B3094D" w:rsidRDefault="00A40A3E" w:rsidP="00A40A3E">
      <w:pPr>
        <w:pStyle w:val="PargrafodaLista"/>
        <w:numPr>
          <w:ilvl w:val="0"/>
          <w:numId w:val="21"/>
        </w:numPr>
        <w:spacing w:line="360" w:lineRule="auto"/>
        <w:ind w:left="714" w:hanging="357"/>
        <w:jc w:val="both"/>
        <w:rPr>
          <w:rFonts w:ascii="Bookman Old Style" w:hAnsi="Bookman Old Style" w:cs="Times New Roman"/>
          <w:color w:val="000000" w:themeColor="text1"/>
          <w:sz w:val="24"/>
          <w:szCs w:val="24"/>
        </w:rPr>
      </w:pPr>
      <w:r w:rsidRPr="00B3094D">
        <w:rPr>
          <w:rFonts w:ascii="Bookman Old Style" w:hAnsi="Bookman Old Style" w:cs="Times New Roman"/>
          <w:b/>
          <w:bCs/>
          <w:color w:val="000000" w:themeColor="text1"/>
          <w:sz w:val="24"/>
          <w:szCs w:val="24"/>
        </w:rPr>
        <w:t xml:space="preserve">TIAGO PEREIRA – </w:t>
      </w:r>
      <w:r w:rsidRPr="00B3094D">
        <w:rPr>
          <w:rFonts w:ascii="Bookman Old Style" w:hAnsi="Bookman Old Style" w:cs="Times New Roman"/>
          <w:bCs/>
          <w:color w:val="000000" w:themeColor="text1"/>
          <w:sz w:val="24"/>
          <w:szCs w:val="24"/>
        </w:rPr>
        <w:t>Representante da Secretaria Municipal de Educaç</w:t>
      </w:r>
      <w:r w:rsidR="00AC7EF4" w:rsidRPr="00B3094D">
        <w:rPr>
          <w:rFonts w:ascii="Bookman Old Style" w:hAnsi="Bookman Old Style" w:cs="Times New Roman"/>
          <w:bCs/>
          <w:color w:val="000000" w:themeColor="text1"/>
          <w:sz w:val="24"/>
          <w:szCs w:val="24"/>
        </w:rPr>
        <w:t>ão, Cultura, Desporto e Turismo.</w:t>
      </w:r>
    </w:p>
    <w:p w:rsidR="005072D8" w:rsidRPr="00B3094D" w:rsidRDefault="005072D8" w:rsidP="005072D8">
      <w:pPr>
        <w:spacing w:line="240" w:lineRule="auto"/>
        <w:contextualSpacing/>
        <w:jc w:val="center"/>
        <w:rPr>
          <w:rFonts w:ascii="Bookman Old Style" w:hAnsi="Bookman Old Style" w:cs="Times New Roman"/>
          <w:color w:val="000000" w:themeColor="text1"/>
          <w:sz w:val="24"/>
          <w:szCs w:val="24"/>
        </w:rPr>
      </w:pPr>
    </w:p>
    <w:p w:rsidR="000438B7" w:rsidRPr="00B3094D" w:rsidRDefault="000438B7" w:rsidP="0011736C">
      <w:pPr>
        <w:rPr>
          <w:rFonts w:ascii="Bookman Old Style" w:hAnsi="Bookman Old Style" w:cs="Times New Roman"/>
          <w:color w:val="000000" w:themeColor="text1"/>
          <w:sz w:val="24"/>
          <w:szCs w:val="24"/>
        </w:rPr>
      </w:pPr>
    </w:p>
    <w:p w:rsidR="005072D8" w:rsidRPr="00B3094D" w:rsidRDefault="005072D8" w:rsidP="000C317A">
      <w:pPr>
        <w:jc w:val="center"/>
        <w:rPr>
          <w:rFonts w:ascii="Bookman Old Style" w:hAnsi="Bookman Old Style" w:cs="Times New Roman"/>
          <w:b/>
          <w:color w:val="000000" w:themeColor="text1"/>
          <w:sz w:val="24"/>
          <w:szCs w:val="24"/>
        </w:rPr>
      </w:pPr>
    </w:p>
    <w:p w:rsidR="005072D8" w:rsidRPr="00B3094D" w:rsidRDefault="005D409F" w:rsidP="000C317A">
      <w:pPr>
        <w:jc w:val="cente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SUMÁRIO</w:t>
      </w:r>
    </w:p>
    <w:p w:rsidR="00AF08ED" w:rsidRDefault="00AF08ED">
      <w:pPr>
        <w:pStyle w:val="Sumrio1"/>
        <w:tabs>
          <w:tab w:val="right" w:leader="underscore" w:pos="8923"/>
        </w:tabs>
        <w:rPr>
          <w:rFonts w:eastAsiaTheme="minorEastAsia" w:cstheme="minorBidi"/>
          <w:b w:val="0"/>
          <w:bCs w:val="0"/>
          <w:caps w:val="0"/>
          <w:noProof/>
          <w:sz w:val="22"/>
          <w:szCs w:val="22"/>
          <w:lang w:eastAsia="pt-BR"/>
        </w:rPr>
      </w:pPr>
      <w:r>
        <w:rPr>
          <w:rFonts w:ascii="Bookman Old Style" w:hAnsi="Bookman Old Style" w:cs="Times New Roman"/>
          <w:b w:val="0"/>
          <w:color w:val="000000" w:themeColor="text1"/>
          <w:sz w:val="24"/>
          <w:szCs w:val="24"/>
        </w:rPr>
        <w:fldChar w:fldCharType="begin"/>
      </w:r>
      <w:r>
        <w:rPr>
          <w:rFonts w:ascii="Bookman Old Style" w:hAnsi="Bookman Old Style" w:cs="Times New Roman"/>
          <w:b w:val="0"/>
          <w:color w:val="000000" w:themeColor="text1"/>
          <w:sz w:val="24"/>
          <w:szCs w:val="24"/>
        </w:rPr>
        <w:instrText xml:space="preserve"> TOC \o "1-3" \h \z \u </w:instrText>
      </w:r>
      <w:r>
        <w:rPr>
          <w:rFonts w:ascii="Bookman Old Style" w:hAnsi="Bookman Old Style" w:cs="Times New Roman"/>
          <w:b w:val="0"/>
          <w:color w:val="000000" w:themeColor="text1"/>
          <w:sz w:val="24"/>
          <w:szCs w:val="24"/>
        </w:rPr>
        <w:fldChar w:fldCharType="separate"/>
      </w:r>
      <w:hyperlink w:anchor="_Toc497809467" w:history="1">
        <w:r w:rsidRPr="0074698B">
          <w:rPr>
            <w:rStyle w:val="Hyperlink"/>
            <w:rFonts w:ascii="Bookman Old Style" w:hAnsi="Bookman Old Style"/>
            <w:noProof/>
          </w:rPr>
          <w:t>APRESENTAÇÃO</w:t>
        </w:r>
        <w:r>
          <w:rPr>
            <w:noProof/>
            <w:webHidden/>
          </w:rPr>
          <w:tab/>
        </w:r>
        <w:r>
          <w:rPr>
            <w:noProof/>
            <w:webHidden/>
          </w:rPr>
          <w:fldChar w:fldCharType="begin"/>
        </w:r>
        <w:r>
          <w:rPr>
            <w:noProof/>
            <w:webHidden/>
          </w:rPr>
          <w:instrText xml:space="preserve"> PAGEREF _Toc497809467 \h </w:instrText>
        </w:r>
        <w:r>
          <w:rPr>
            <w:noProof/>
            <w:webHidden/>
          </w:rPr>
        </w:r>
        <w:r>
          <w:rPr>
            <w:noProof/>
            <w:webHidden/>
          </w:rPr>
          <w:fldChar w:fldCharType="separate"/>
        </w:r>
        <w:r>
          <w:rPr>
            <w:noProof/>
            <w:webHidden/>
          </w:rPr>
          <w:t>4</w:t>
        </w:r>
        <w:r>
          <w:rPr>
            <w:noProof/>
            <w:webHidden/>
          </w:rPr>
          <w:fldChar w:fldCharType="end"/>
        </w:r>
      </w:hyperlink>
    </w:p>
    <w:p w:rsidR="00AF08ED" w:rsidRDefault="00AF08ED">
      <w:pPr>
        <w:pStyle w:val="Sumrio1"/>
        <w:tabs>
          <w:tab w:val="left" w:pos="440"/>
          <w:tab w:val="right" w:leader="underscore" w:pos="8923"/>
        </w:tabs>
        <w:rPr>
          <w:rFonts w:eastAsiaTheme="minorEastAsia" w:cstheme="minorBidi"/>
          <w:b w:val="0"/>
          <w:bCs w:val="0"/>
          <w:caps w:val="0"/>
          <w:noProof/>
          <w:sz w:val="22"/>
          <w:szCs w:val="22"/>
          <w:lang w:eastAsia="pt-BR"/>
        </w:rPr>
      </w:pPr>
      <w:hyperlink w:anchor="_Toc497809468" w:history="1">
        <w:r w:rsidRPr="0074698B">
          <w:rPr>
            <w:rStyle w:val="Hyperlink"/>
            <w:rFonts w:ascii="Bookman Old Style" w:hAnsi="Bookman Old Style"/>
            <w:noProof/>
          </w:rPr>
          <w:t>1.</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PROCESSO DE MONITORAMENTO E EXECUÇÃO DO PME:</w:t>
        </w:r>
        <w:r>
          <w:rPr>
            <w:noProof/>
            <w:webHidden/>
          </w:rPr>
          <w:tab/>
        </w:r>
        <w:r>
          <w:rPr>
            <w:noProof/>
            <w:webHidden/>
          </w:rPr>
          <w:fldChar w:fldCharType="begin"/>
        </w:r>
        <w:r>
          <w:rPr>
            <w:noProof/>
            <w:webHidden/>
          </w:rPr>
          <w:instrText xml:space="preserve"> PAGEREF _Toc497809468 \h </w:instrText>
        </w:r>
        <w:r>
          <w:rPr>
            <w:noProof/>
            <w:webHidden/>
          </w:rPr>
        </w:r>
        <w:r>
          <w:rPr>
            <w:noProof/>
            <w:webHidden/>
          </w:rPr>
          <w:fldChar w:fldCharType="separate"/>
        </w:r>
        <w:r>
          <w:rPr>
            <w:noProof/>
            <w:webHidden/>
          </w:rPr>
          <w:t>5</w:t>
        </w:r>
        <w:r>
          <w:rPr>
            <w:noProof/>
            <w:webHidden/>
          </w:rPr>
          <w:fldChar w:fldCharType="end"/>
        </w:r>
      </w:hyperlink>
    </w:p>
    <w:p w:rsidR="00AF08ED" w:rsidRDefault="00AF08ED">
      <w:pPr>
        <w:pStyle w:val="Sumrio1"/>
        <w:tabs>
          <w:tab w:val="left" w:pos="440"/>
          <w:tab w:val="right" w:leader="underscore" w:pos="8923"/>
        </w:tabs>
        <w:rPr>
          <w:rFonts w:eastAsiaTheme="minorEastAsia" w:cstheme="minorBidi"/>
          <w:b w:val="0"/>
          <w:bCs w:val="0"/>
          <w:caps w:val="0"/>
          <w:noProof/>
          <w:sz w:val="22"/>
          <w:szCs w:val="22"/>
          <w:lang w:eastAsia="pt-BR"/>
        </w:rPr>
      </w:pPr>
      <w:hyperlink w:anchor="_Toc497809469" w:history="1">
        <w:r w:rsidRPr="0074698B">
          <w:rPr>
            <w:rStyle w:val="Hyperlink"/>
            <w:rFonts w:ascii="Bookman Old Style" w:hAnsi="Bookman Old Style"/>
            <w:noProof/>
          </w:rPr>
          <w:t>2.</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METAS DO PLANO MUNICIPAL DE EDUCAÇÃO OBSERVADAS NO PERÍODO.</w:t>
        </w:r>
        <w:r>
          <w:rPr>
            <w:noProof/>
            <w:webHidden/>
          </w:rPr>
          <w:tab/>
        </w:r>
        <w:r>
          <w:rPr>
            <w:noProof/>
            <w:webHidden/>
          </w:rPr>
          <w:fldChar w:fldCharType="begin"/>
        </w:r>
        <w:r>
          <w:rPr>
            <w:noProof/>
            <w:webHidden/>
          </w:rPr>
          <w:instrText xml:space="preserve"> PAGEREF _Toc497809469 \h </w:instrText>
        </w:r>
        <w:r>
          <w:rPr>
            <w:noProof/>
            <w:webHidden/>
          </w:rPr>
        </w:r>
        <w:r>
          <w:rPr>
            <w:noProof/>
            <w:webHidden/>
          </w:rPr>
          <w:fldChar w:fldCharType="separate"/>
        </w:r>
        <w:r>
          <w:rPr>
            <w:noProof/>
            <w:webHidden/>
          </w:rPr>
          <w:t>8</w:t>
        </w:r>
        <w:r>
          <w:rPr>
            <w:noProof/>
            <w:webHidden/>
          </w:rPr>
          <w:fldChar w:fldCharType="end"/>
        </w:r>
      </w:hyperlink>
    </w:p>
    <w:p w:rsidR="00AF08ED" w:rsidRDefault="00AF08ED">
      <w:pPr>
        <w:pStyle w:val="Sumrio1"/>
        <w:tabs>
          <w:tab w:val="left" w:pos="440"/>
          <w:tab w:val="right" w:leader="underscore" w:pos="8923"/>
        </w:tabs>
        <w:rPr>
          <w:rFonts w:eastAsiaTheme="minorEastAsia" w:cstheme="minorBidi"/>
          <w:b w:val="0"/>
          <w:bCs w:val="0"/>
          <w:caps w:val="0"/>
          <w:noProof/>
          <w:sz w:val="22"/>
          <w:szCs w:val="22"/>
          <w:lang w:eastAsia="pt-BR"/>
        </w:rPr>
      </w:pPr>
      <w:hyperlink w:anchor="_Toc497809470" w:history="1">
        <w:r w:rsidRPr="0074698B">
          <w:rPr>
            <w:rStyle w:val="Hyperlink"/>
            <w:rFonts w:ascii="Bookman Old Style" w:hAnsi="Bookman Old Style"/>
            <w:noProof/>
          </w:rPr>
          <w:t>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Educação Infantil</w:t>
        </w:r>
        <w:r>
          <w:rPr>
            <w:noProof/>
            <w:webHidden/>
          </w:rPr>
          <w:tab/>
        </w:r>
        <w:r>
          <w:rPr>
            <w:noProof/>
            <w:webHidden/>
          </w:rPr>
          <w:fldChar w:fldCharType="begin"/>
        </w:r>
        <w:r>
          <w:rPr>
            <w:noProof/>
            <w:webHidden/>
          </w:rPr>
          <w:instrText xml:space="preserve"> PAGEREF _Toc497809470 \h </w:instrText>
        </w:r>
        <w:r>
          <w:rPr>
            <w:noProof/>
            <w:webHidden/>
          </w:rPr>
        </w:r>
        <w:r>
          <w:rPr>
            <w:noProof/>
            <w:webHidden/>
          </w:rPr>
          <w:fldChar w:fldCharType="separate"/>
        </w:r>
        <w:r>
          <w:rPr>
            <w:noProof/>
            <w:webHidden/>
          </w:rPr>
          <w:t>12</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71" w:history="1">
        <w:r w:rsidRPr="0074698B">
          <w:rPr>
            <w:rStyle w:val="Hyperlink"/>
            <w:rFonts w:ascii="Bookman Old Style" w:hAnsi="Bookman Old Style"/>
            <w:noProof/>
          </w:rPr>
          <w:t>II.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Ensino Fundamental</w:t>
        </w:r>
        <w:r>
          <w:rPr>
            <w:noProof/>
            <w:webHidden/>
          </w:rPr>
          <w:tab/>
        </w:r>
        <w:r>
          <w:rPr>
            <w:noProof/>
            <w:webHidden/>
          </w:rPr>
          <w:fldChar w:fldCharType="begin"/>
        </w:r>
        <w:r>
          <w:rPr>
            <w:noProof/>
            <w:webHidden/>
          </w:rPr>
          <w:instrText xml:space="preserve"> PAGEREF _Toc497809471 \h </w:instrText>
        </w:r>
        <w:r>
          <w:rPr>
            <w:noProof/>
            <w:webHidden/>
          </w:rPr>
        </w:r>
        <w:r>
          <w:rPr>
            <w:noProof/>
            <w:webHidden/>
          </w:rPr>
          <w:fldChar w:fldCharType="separate"/>
        </w:r>
        <w:r>
          <w:rPr>
            <w:noProof/>
            <w:webHidden/>
          </w:rPr>
          <w:t>19</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72" w:history="1">
        <w:r w:rsidRPr="0074698B">
          <w:rPr>
            <w:rStyle w:val="Hyperlink"/>
            <w:rFonts w:ascii="Bookman Old Style" w:hAnsi="Bookman Old Style"/>
            <w:noProof/>
          </w:rPr>
          <w:t>III.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Ensino Médio</w:t>
        </w:r>
        <w:r>
          <w:rPr>
            <w:noProof/>
            <w:webHidden/>
          </w:rPr>
          <w:tab/>
        </w:r>
        <w:r>
          <w:rPr>
            <w:noProof/>
            <w:webHidden/>
          </w:rPr>
          <w:fldChar w:fldCharType="begin"/>
        </w:r>
        <w:r>
          <w:rPr>
            <w:noProof/>
            <w:webHidden/>
          </w:rPr>
          <w:instrText xml:space="preserve"> PAGEREF _Toc497809472 \h </w:instrText>
        </w:r>
        <w:r>
          <w:rPr>
            <w:noProof/>
            <w:webHidden/>
          </w:rPr>
        </w:r>
        <w:r>
          <w:rPr>
            <w:noProof/>
            <w:webHidden/>
          </w:rPr>
          <w:fldChar w:fldCharType="separate"/>
        </w:r>
        <w:r>
          <w:rPr>
            <w:noProof/>
            <w:webHidden/>
          </w:rPr>
          <w:t>26</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73" w:history="1">
        <w:r w:rsidRPr="0074698B">
          <w:rPr>
            <w:rStyle w:val="Hyperlink"/>
            <w:rFonts w:ascii="Bookman Old Style" w:hAnsi="Bookman Old Style"/>
            <w:noProof/>
          </w:rPr>
          <w:t>IV.</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Educação Especial/Inclusiva</w:t>
        </w:r>
        <w:r>
          <w:rPr>
            <w:noProof/>
            <w:webHidden/>
          </w:rPr>
          <w:tab/>
        </w:r>
        <w:r>
          <w:rPr>
            <w:noProof/>
            <w:webHidden/>
          </w:rPr>
          <w:fldChar w:fldCharType="begin"/>
        </w:r>
        <w:r>
          <w:rPr>
            <w:noProof/>
            <w:webHidden/>
          </w:rPr>
          <w:instrText xml:space="preserve"> PAGEREF _Toc497809473 \h </w:instrText>
        </w:r>
        <w:r>
          <w:rPr>
            <w:noProof/>
            <w:webHidden/>
          </w:rPr>
        </w:r>
        <w:r>
          <w:rPr>
            <w:noProof/>
            <w:webHidden/>
          </w:rPr>
          <w:fldChar w:fldCharType="separate"/>
        </w:r>
        <w:r>
          <w:rPr>
            <w:noProof/>
            <w:webHidden/>
          </w:rPr>
          <w:t>32</w:t>
        </w:r>
        <w:r>
          <w:rPr>
            <w:noProof/>
            <w:webHidden/>
          </w:rPr>
          <w:fldChar w:fldCharType="end"/>
        </w:r>
      </w:hyperlink>
    </w:p>
    <w:p w:rsidR="00AF08ED" w:rsidRDefault="00AF08ED">
      <w:pPr>
        <w:pStyle w:val="Sumrio1"/>
        <w:tabs>
          <w:tab w:val="left" w:pos="440"/>
          <w:tab w:val="right" w:leader="underscore" w:pos="8923"/>
        </w:tabs>
        <w:rPr>
          <w:rFonts w:eastAsiaTheme="minorEastAsia" w:cstheme="minorBidi"/>
          <w:b w:val="0"/>
          <w:bCs w:val="0"/>
          <w:caps w:val="0"/>
          <w:noProof/>
          <w:sz w:val="22"/>
          <w:szCs w:val="22"/>
          <w:lang w:eastAsia="pt-BR"/>
        </w:rPr>
      </w:pPr>
      <w:hyperlink w:anchor="_Toc497809474" w:history="1">
        <w:r w:rsidRPr="0074698B">
          <w:rPr>
            <w:rStyle w:val="Hyperlink"/>
            <w:rFonts w:ascii="Bookman Old Style" w:hAnsi="Bookman Old Style"/>
            <w:noProof/>
          </w:rPr>
          <w:t>V.</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Alfabetização</w:t>
        </w:r>
        <w:r>
          <w:rPr>
            <w:noProof/>
            <w:webHidden/>
          </w:rPr>
          <w:tab/>
        </w:r>
        <w:r>
          <w:rPr>
            <w:noProof/>
            <w:webHidden/>
          </w:rPr>
          <w:fldChar w:fldCharType="begin"/>
        </w:r>
        <w:r>
          <w:rPr>
            <w:noProof/>
            <w:webHidden/>
          </w:rPr>
          <w:instrText xml:space="preserve"> PAGEREF _Toc497809474 \h </w:instrText>
        </w:r>
        <w:r>
          <w:rPr>
            <w:noProof/>
            <w:webHidden/>
          </w:rPr>
        </w:r>
        <w:r>
          <w:rPr>
            <w:noProof/>
            <w:webHidden/>
          </w:rPr>
          <w:fldChar w:fldCharType="separate"/>
        </w:r>
        <w:r>
          <w:rPr>
            <w:noProof/>
            <w:webHidden/>
          </w:rPr>
          <w:t>39</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75" w:history="1">
        <w:r w:rsidRPr="0074698B">
          <w:rPr>
            <w:rStyle w:val="Hyperlink"/>
            <w:rFonts w:ascii="Bookman Old Style" w:hAnsi="Bookman Old Style"/>
            <w:noProof/>
          </w:rPr>
          <w:t>VI.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Educação Integral</w:t>
        </w:r>
        <w:r>
          <w:rPr>
            <w:noProof/>
            <w:webHidden/>
          </w:rPr>
          <w:tab/>
        </w:r>
        <w:r>
          <w:rPr>
            <w:noProof/>
            <w:webHidden/>
          </w:rPr>
          <w:fldChar w:fldCharType="begin"/>
        </w:r>
        <w:r>
          <w:rPr>
            <w:noProof/>
            <w:webHidden/>
          </w:rPr>
          <w:instrText xml:space="preserve"> PAGEREF _Toc497809475 \h </w:instrText>
        </w:r>
        <w:r>
          <w:rPr>
            <w:noProof/>
            <w:webHidden/>
          </w:rPr>
        </w:r>
        <w:r>
          <w:rPr>
            <w:noProof/>
            <w:webHidden/>
          </w:rPr>
          <w:fldChar w:fldCharType="separate"/>
        </w:r>
        <w:r>
          <w:rPr>
            <w:noProof/>
            <w:webHidden/>
          </w:rPr>
          <w:t>44</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76" w:history="1">
        <w:r w:rsidRPr="0074698B">
          <w:rPr>
            <w:rStyle w:val="Hyperlink"/>
            <w:rFonts w:ascii="Bookman Old Style" w:hAnsi="Bookman Old Style"/>
            <w:noProof/>
          </w:rPr>
          <w:t>VII.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a Aprendizado na Idade Certa</w:t>
        </w:r>
        <w:r>
          <w:rPr>
            <w:noProof/>
            <w:webHidden/>
          </w:rPr>
          <w:tab/>
        </w:r>
        <w:r>
          <w:rPr>
            <w:noProof/>
            <w:webHidden/>
          </w:rPr>
          <w:fldChar w:fldCharType="begin"/>
        </w:r>
        <w:r>
          <w:rPr>
            <w:noProof/>
            <w:webHidden/>
          </w:rPr>
          <w:instrText xml:space="preserve"> PAGEREF _Toc497809476 \h </w:instrText>
        </w:r>
        <w:r>
          <w:rPr>
            <w:noProof/>
            <w:webHidden/>
          </w:rPr>
        </w:r>
        <w:r>
          <w:rPr>
            <w:noProof/>
            <w:webHidden/>
          </w:rPr>
          <w:fldChar w:fldCharType="separate"/>
        </w:r>
        <w:r>
          <w:rPr>
            <w:noProof/>
            <w:webHidden/>
          </w:rPr>
          <w:t>49</w:t>
        </w:r>
        <w:r>
          <w:rPr>
            <w:noProof/>
            <w:webHidden/>
          </w:rPr>
          <w:fldChar w:fldCharType="end"/>
        </w:r>
      </w:hyperlink>
    </w:p>
    <w:p w:rsidR="00AF08ED" w:rsidRDefault="00AF08ED">
      <w:pPr>
        <w:pStyle w:val="Sumrio1"/>
        <w:tabs>
          <w:tab w:val="left" w:pos="880"/>
          <w:tab w:val="right" w:leader="underscore" w:pos="8923"/>
        </w:tabs>
        <w:rPr>
          <w:rFonts w:eastAsiaTheme="minorEastAsia" w:cstheme="minorBidi"/>
          <w:b w:val="0"/>
          <w:bCs w:val="0"/>
          <w:caps w:val="0"/>
          <w:noProof/>
          <w:sz w:val="22"/>
          <w:szCs w:val="22"/>
          <w:lang w:eastAsia="pt-BR"/>
        </w:rPr>
      </w:pPr>
      <w:hyperlink w:anchor="_Toc497809477" w:history="1">
        <w:r w:rsidRPr="0074698B">
          <w:rPr>
            <w:rStyle w:val="Hyperlink"/>
            <w:rFonts w:ascii="Bookman Old Style" w:hAnsi="Bookman Old Style"/>
            <w:noProof/>
          </w:rPr>
          <w:t>VIII.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a Escolaridade Média</w:t>
        </w:r>
        <w:r>
          <w:rPr>
            <w:noProof/>
            <w:webHidden/>
          </w:rPr>
          <w:tab/>
        </w:r>
        <w:r>
          <w:rPr>
            <w:noProof/>
            <w:webHidden/>
          </w:rPr>
          <w:fldChar w:fldCharType="begin"/>
        </w:r>
        <w:r>
          <w:rPr>
            <w:noProof/>
            <w:webHidden/>
          </w:rPr>
          <w:instrText xml:space="preserve"> PAGEREF _Toc497809477 \h </w:instrText>
        </w:r>
        <w:r>
          <w:rPr>
            <w:noProof/>
            <w:webHidden/>
          </w:rPr>
        </w:r>
        <w:r>
          <w:rPr>
            <w:noProof/>
            <w:webHidden/>
          </w:rPr>
          <w:fldChar w:fldCharType="separate"/>
        </w:r>
        <w:r>
          <w:rPr>
            <w:noProof/>
            <w:webHidden/>
          </w:rPr>
          <w:t>57</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78" w:history="1">
        <w:r w:rsidRPr="0074698B">
          <w:rPr>
            <w:rStyle w:val="Hyperlink"/>
            <w:rFonts w:ascii="Bookman Old Style" w:hAnsi="Bookman Old Style" w:cs="Times New Roman"/>
            <w:noProof/>
          </w:rPr>
          <w:t>IX.</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 xml:space="preserve">Meta sobre a Alfabetização e Alfabetismo Funcional de </w:t>
        </w:r>
        <w:r w:rsidRPr="0074698B">
          <w:rPr>
            <w:rStyle w:val="Hyperlink"/>
            <w:rFonts w:ascii="Bookman Old Style" w:hAnsi="Bookman Old Style" w:cs="Times New Roman"/>
            <w:noProof/>
          </w:rPr>
          <w:t>Jovens e Adultos</w:t>
        </w:r>
        <w:r>
          <w:rPr>
            <w:noProof/>
            <w:webHidden/>
          </w:rPr>
          <w:tab/>
        </w:r>
        <w:r>
          <w:rPr>
            <w:noProof/>
            <w:webHidden/>
          </w:rPr>
          <w:fldChar w:fldCharType="begin"/>
        </w:r>
        <w:r>
          <w:rPr>
            <w:noProof/>
            <w:webHidden/>
          </w:rPr>
          <w:instrText xml:space="preserve"> PAGEREF _Toc497809478 \h </w:instrText>
        </w:r>
        <w:r>
          <w:rPr>
            <w:noProof/>
            <w:webHidden/>
          </w:rPr>
        </w:r>
        <w:r>
          <w:rPr>
            <w:noProof/>
            <w:webHidden/>
          </w:rPr>
          <w:fldChar w:fldCharType="separate"/>
        </w:r>
        <w:r>
          <w:rPr>
            <w:noProof/>
            <w:webHidden/>
          </w:rPr>
          <w:t>63</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79" w:history="1">
        <w:r w:rsidRPr="0074698B">
          <w:rPr>
            <w:rStyle w:val="Hyperlink"/>
            <w:rFonts w:ascii="Bookman Old Style" w:hAnsi="Bookman Old Style"/>
            <w:noProof/>
          </w:rPr>
          <w:t>X.</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EJA Integrada à Educação Profissional</w:t>
        </w:r>
        <w:r>
          <w:rPr>
            <w:noProof/>
            <w:webHidden/>
          </w:rPr>
          <w:tab/>
        </w:r>
        <w:r>
          <w:rPr>
            <w:noProof/>
            <w:webHidden/>
          </w:rPr>
          <w:fldChar w:fldCharType="begin"/>
        </w:r>
        <w:r>
          <w:rPr>
            <w:noProof/>
            <w:webHidden/>
          </w:rPr>
          <w:instrText xml:space="preserve"> PAGEREF _Toc497809479 \h </w:instrText>
        </w:r>
        <w:r>
          <w:rPr>
            <w:noProof/>
            <w:webHidden/>
          </w:rPr>
        </w:r>
        <w:r>
          <w:rPr>
            <w:noProof/>
            <w:webHidden/>
          </w:rPr>
          <w:fldChar w:fldCharType="separate"/>
        </w:r>
        <w:r>
          <w:rPr>
            <w:noProof/>
            <w:webHidden/>
          </w:rPr>
          <w:t>67</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80" w:history="1">
        <w:r w:rsidRPr="0074698B">
          <w:rPr>
            <w:rStyle w:val="Hyperlink"/>
            <w:rFonts w:ascii="Bookman Old Style" w:hAnsi="Bookman Old Style"/>
            <w:noProof/>
          </w:rPr>
          <w:t>XI.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Educação Profissional</w:t>
        </w:r>
        <w:r>
          <w:rPr>
            <w:noProof/>
            <w:webHidden/>
          </w:rPr>
          <w:tab/>
        </w:r>
        <w:r>
          <w:rPr>
            <w:noProof/>
            <w:webHidden/>
          </w:rPr>
          <w:fldChar w:fldCharType="begin"/>
        </w:r>
        <w:r>
          <w:rPr>
            <w:noProof/>
            <w:webHidden/>
          </w:rPr>
          <w:instrText xml:space="preserve"> PAGEREF _Toc497809480 \h </w:instrText>
        </w:r>
        <w:r>
          <w:rPr>
            <w:noProof/>
            <w:webHidden/>
          </w:rPr>
        </w:r>
        <w:r>
          <w:rPr>
            <w:noProof/>
            <w:webHidden/>
          </w:rPr>
          <w:fldChar w:fldCharType="separate"/>
        </w:r>
        <w:r>
          <w:rPr>
            <w:noProof/>
            <w:webHidden/>
          </w:rPr>
          <w:t>70</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81" w:history="1">
        <w:r w:rsidRPr="0074698B">
          <w:rPr>
            <w:rStyle w:val="Hyperlink"/>
            <w:rFonts w:ascii="Bookman Old Style" w:hAnsi="Bookman Old Style"/>
            <w:noProof/>
          </w:rPr>
          <w:t>XII.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a Educação Superior</w:t>
        </w:r>
        <w:r>
          <w:rPr>
            <w:noProof/>
            <w:webHidden/>
          </w:rPr>
          <w:tab/>
        </w:r>
        <w:r>
          <w:rPr>
            <w:noProof/>
            <w:webHidden/>
          </w:rPr>
          <w:fldChar w:fldCharType="begin"/>
        </w:r>
        <w:r>
          <w:rPr>
            <w:noProof/>
            <w:webHidden/>
          </w:rPr>
          <w:instrText xml:space="preserve"> PAGEREF _Toc497809481 \h </w:instrText>
        </w:r>
        <w:r>
          <w:rPr>
            <w:noProof/>
            <w:webHidden/>
          </w:rPr>
        </w:r>
        <w:r>
          <w:rPr>
            <w:noProof/>
            <w:webHidden/>
          </w:rPr>
          <w:fldChar w:fldCharType="separate"/>
        </w:r>
        <w:r>
          <w:rPr>
            <w:noProof/>
            <w:webHidden/>
          </w:rPr>
          <w:t>74</w:t>
        </w:r>
        <w:r>
          <w:rPr>
            <w:noProof/>
            <w:webHidden/>
          </w:rPr>
          <w:fldChar w:fldCharType="end"/>
        </w:r>
      </w:hyperlink>
    </w:p>
    <w:p w:rsidR="00AF08ED" w:rsidRDefault="00AF08ED">
      <w:pPr>
        <w:pStyle w:val="Sumrio1"/>
        <w:tabs>
          <w:tab w:val="left" w:pos="880"/>
          <w:tab w:val="right" w:leader="underscore" w:pos="8923"/>
        </w:tabs>
        <w:rPr>
          <w:rFonts w:eastAsiaTheme="minorEastAsia" w:cstheme="minorBidi"/>
          <w:b w:val="0"/>
          <w:bCs w:val="0"/>
          <w:caps w:val="0"/>
          <w:noProof/>
          <w:sz w:val="22"/>
          <w:szCs w:val="22"/>
          <w:lang w:eastAsia="pt-BR"/>
        </w:rPr>
      </w:pPr>
      <w:hyperlink w:anchor="_Toc497809482" w:history="1">
        <w:r w:rsidRPr="0074698B">
          <w:rPr>
            <w:rStyle w:val="Hyperlink"/>
            <w:rFonts w:ascii="Bookman Old Style" w:hAnsi="Bookman Old Style"/>
            <w:noProof/>
          </w:rPr>
          <w:t>XIII.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a Titulação de Professores da Educação Superior</w:t>
        </w:r>
        <w:r>
          <w:rPr>
            <w:noProof/>
            <w:webHidden/>
          </w:rPr>
          <w:tab/>
        </w:r>
        <w:r>
          <w:rPr>
            <w:noProof/>
            <w:webHidden/>
          </w:rPr>
          <w:fldChar w:fldCharType="begin"/>
        </w:r>
        <w:r>
          <w:rPr>
            <w:noProof/>
            <w:webHidden/>
          </w:rPr>
          <w:instrText xml:space="preserve"> PAGEREF _Toc497809482 \h </w:instrText>
        </w:r>
        <w:r>
          <w:rPr>
            <w:noProof/>
            <w:webHidden/>
          </w:rPr>
        </w:r>
        <w:r>
          <w:rPr>
            <w:noProof/>
            <w:webHidden/>
          </w:rPr>
          <w:fldChar w:fldCharType="separate"/>
        </w:r>
        <w:r>
          <w:rPr>
            <w:noProof/>
            <w:webHidden/>
          </w:rPr>
          <w:t>78</w:t>
        </w:r>
        <w:r>
          <w:rPr>
            <w:noProof/>
            <w:webHidden/>
          </w:rPr>
          <w:fldChar w:fldCharType="end"/>
        </w:r>
      </w:hyperlink>
    </w:p>
    <w:p w:rsidR="00AF08ED" w:rsidRDefault="00AF08ED">
      <w:pPr>
        <w:pStyle w:val="Sumrio1"/>
        <w:tabs>
          <w:tab w:val="right" w:leader="underscore" w:pos="8923"/>
        </w:tabs>
        <w:rPr>
          <w:rFonts w:eastAsiaTheme="minorEastAsia" w:cstheme="minorBidi"/>
          <w:b w:val="0"/>
          <w:bCs w:val="0"/>
          <w:caps w:val="0"/>
          <w:noProof/>
          <w:sz w:val="22"/>
          <w:szCs w:val="22"/>
          <w:lang w:eastAsia="pt-BR"/>
        </w:rPr>
      </w:pPr>
      <w:hyperlink w:anchor="_Toc497809483" w:history="1">
        <w:r w:rsidRPr="0074698B">
          <w:rPr>
            <w:rStyle w:val="Hyperlink"/>
            <w:rFonts w:ascii="Bookman Old Style" w:hAnsi="Bookman Old Style"/>
            <w:noProof/>
          </w:rPr>
          <w:t>XVI. Meta sobre Pós-Graduação</w:t>
        </w:r>
        <w:r>
          <w:rPr>
            <w:noProof/>
            <w:webHidden/>
          </w:rPr>
          <w:tab/>
        </w:r>
        <w:r>
          <w:rPr>
            <w:noProof/>
            <w:webHidden/>
          </w:rPr>
          <w:fldChar w:fldCharType="begin"/>
        </w:r>
        <w:r>
          <w:rPr>
            <w:noProof/>
            <w:webHidden/>
          </w:rPr>
          <w:instrText xml:space="preserve"> PAGEREF _Toc497809483 \h </w:instrText>
        </w:r>
        <w:r>
          <w:rPr>
            <w:noProof/>
            <w:webHidden/>
          </w:rPr>
        </w:r>
        <w:r>
          <w:rPr>
            <w:noProof/>
            <w:webHidden/>
          </w:rPr>
          <w:fldChar w:fldCharType="separate"/>
        </w:r>
        <w:r>
          <w:rPr>
            <w:noProof/>
            <w:webHidden/>
          </w:rPr>
          <w:t>79</w:t>
        </w:r>
        <w:r>
          <w:rPr>
            <w:noProof/>
            <w:webHidden/>
          </w:rPr>
          <w:fldChar w:fldCharType="end"/>
        </w:r>
      </w:hyperlink>
    </w:p>
    <w:p w:rsidR="00AF08ED" w:rsidRDefault="00AF08ED">
      <w:pPr>
        <w:pStyle w:val="Sumrio1"/>
        <w:tabs>
          <w:tab w:val="left" w:pos="880"/>
          <w:tab w:val="right" w:leader="underscore" w:pos="8923"/>
        </w:tabs>
        <w:rPr>
          <w:rFonts w:eastAsiaTheme="minorEastAsia" w:cstheme="minorBidi"/>
          <w:b w:val="0"/>
          <w:bCs w:val="0"/>
          <w:caps w:val="0"/>
          <w:noProof/>
          <w:sz w:val="22"/>
          <w:szCs w:val="22"/>
          <w:lang w:eastAsia="pt-BR"/>
        </w:rPr>
      </w:pPr>
      <w:hyperlink w:anchor="_Toc497809484" w:history="1">
        <w:r w:rsidRPr="0074698B">
          <w:rPr>
            <w:rStyle w:val="Hyperlink"/>
            <w:rFonts w:ascii="Bookman Old Style" w:hAnsi="Bookman Old Style"/>
            <w:noProof/>
          </w:rPr>
          <w:t>XIV.</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a Formação de Professores</w:t>
        </w:r>
        <w:r>
          <w:rPr>
            <w:noProof/>
            <w:webHidden/>
          </w:rPr>
          <w:tab/>
        </w:r>
        <w:r>
          <w:rPr>
            <w:noProof/>
            <w:webHidden/>
          </w:rPr>
          <w:fldChar w:fldCharType="begin"/>
        </w:r>
        <w:r>
          <w:rPr>
            <w:noProof/>
            <w:webHidden/>
          </w:rPr>
          <w:instrText xml:space="preserve"> PAGEREF _Toc497809484 \h </w:instrText>
        </w:r>
        <w:r>
          <w:rPr>
            <w:noProof/>
            <w:webHidden/>
          </w:rPr>
        </w:r>
        <w:r>
          <w:rPr>
            <w:noProof/>
            <w:webHidden/>
          </w:rPr>
          <w:fldChar w:fldCharType="separate"/>
        </w:r>
        <w:r>
          <w:rPr>
            <w:noProof/>
            <w:webHidden/>
          </w:rPr>
          <w:t>80</w:t>
        </w:r>
        <w:r>
          <w:rPr>
            <w:noProof/>
            <w:webHidden/>
          </w:rPr>
          <w:fldChar w:fldCharType="end"/>
        </w:r>
      </w:hyperlink>
    </w:p>
    <w:p w:rsidR="00AF08ED" w:rsidRDefault="00AF08ED">
      <w:pPr>
        <w:pStyle w:val="Sumrio1"/>
        <w:tabs>
          <w:tab w:val="left" w:pos="880"/>
          <w:tab w:val="right" w:leader="underscore" w:pos="8923"/>
        </w:tabs>
        <w:rPr>
          <w:rFonts w:eastAsiaTheme="minorEastAsia" w:cstheme="minorBidi"/>
          <w:b w:val="0"/>
          <w:bCs w:val="0"/>
          <w:caps w:val="0"/>
          <w:noProof/>
          <w:sz w:val="22"/>
          <w:szCs w:val="22"/>
          <w:lang w:eastAsia="pt-BR"/>
        </w:rPr>
      </w:pPr>
      <w:hyperlink w:anchor="_Toc497809485" w:history="1">
        <w:r w:rsidRPr="0074698B">
          <w:rPr>
            <w:rStyle w:val="Hyperlink"/>
            <w:rFonts w:ascii="Bookman Old Style" w:hAnsi="Bookman Old Style"/>
            <w:noProof/>
          </w:rPr>
          <w:t>XVI.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a Formação Continuadae Pós-Graduação de Professores</w:t>
        </w:r>
        <w:r>
          <w:rPr>
            <w:noProof/>
            <w:webHidden/>
          </w:rPr>
          <w:tab/>
        </w:r>
        <w:r>
          <w:rPr>
            <w:noProof/>
            <w:webHidden/>
          </w:rPr>
          <w:fldChar w:fldCharType="begin"/>
        </w:r>
        <w:r>
          <w:rPr>
            <w:noProof/>
            <w:webHidden/>
          </w:rPr>
          <w:instrText xml:space="preserve"> PAGEREF _Toc497809485 \h </w:instrText>
        </w:r>
        <w:r>
          <w:rPr>
            <w:noProof/>
            <w:webHidden/>
          </w:rPr>
        </w:r>
        <w:r>
          <w:rPr>
            <w:noProof/>
            <w:webHidden/>
          </w:rPr>
          <w:fldChar w:fldCharType="separate"/>
        </w:r>
        <w:r>
          <w:rPr>
            <w:noProof/>
            <w:webHidden/>
          </w:rPr>
          <w:t>84</w:t>
        </w:r>
        <w:r>
          <w:rPr>
            <w:noProof/>
            <w:webHidden/>
          </w:rPr>
          <w:fldChar w:fldCharType="end"/>
        </w:r>
      </w:hyperlink>
    </w:p>
    <w:p w:rsidR="00AF08ED" w:rsidRDefault="00AF08ED">
      <w:pPr>
        <w:pStyle w:val="Sumrio1"/>
        <w:tabs>
          <w:tab w:val="left" w:pos="880"/>
          <w:tab w:val="right" w:leader="underscore" w:pos="8923"/>
        </w:tabs>
        <w:rPr>
          <w:rFonts w:eastAsiaTheme="minorEastAsia" w:cstheme="minorBidi"/>
          <w:b w:val="0"/>
          <w:bCs w:val="0"/>
          <w:caps w:val="0"/>
          <w:noProof/>
          <w:sz w:val="22"/>
          <w:szCs w:val="22"/>
          <w:lang w:eastAsia="pt-BR"/>
        </w:rPr>
      </w:pPr>
      <w:hyperlink w:anchor="_Toc497809486" w:history="1">
        <w:r w:rsidRPr="0074698B">
          <w:rPr>
            <w:rStyle w:val="Hyperlink"/>
            <w:rFonts w:ascii="Bookman Old Style" w:hAnsi="Bookman Old Style"/>
            <w:noProof/>
          </w:rPr>
          <w:t>XVII.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a Valorização do Professor</w:t>
        </w:r>
        <w:r>
          <w:rPr>
            <w:noProof/>
            <w:webHidden/>
          </w:rPr>
          <w:tab/>
        </w:r>
        <w:r>
          <w:rPr>
            <w:noProof/>
            <w:webHidden/>
          </w:rPr>
          <w:fldChar w:fldCharType="begin"/>
        </w:r>
        <w:r>
          <w:rPr>
            <w:noProof/>
            <w:webHidden/>
          </w:rPr>
          <w:instrText xml:space="preserve"> PAGEREF _Toc497809486 \h </w:instrText>
        </w:r>
        <w:r>
          <w:rPr>
            <w:noProof/>
            <w:webHidden/>
          </w:rPr>
        </w:r>
        <w:r>
          <w:rPr>
            <w:noProof/>
            <w:webHidden/>
          </w:rPr>
          <w:fldChar w:fldCharType="separate"/>
        </w:r>
        <w:r>
          <w:rPr>
            <w:noProof/>
            <w:webHidden/>
          </w:rPr>
          <w:t>86</w:t>
        </w:r>
        <w:r>
          <w:rPr>
            <w:noProof/>
            <w:webHidden/>
          </w:rPr>
          <w:fldChar w:fldCharType="end"/>
        </w:r>
      </w:hyperlink>
    </w:p>
    <w:p w:rsidR="00AF08ED" w:rsidRDefault="00AF08ED">
      <w:pPr>
        <w:pStyle w:val="Sumrio1"/>
        <w:tabs>
          <w:tab w:val="left" w:pos="880"/>
          <w:tab w:val="right" w:leader="underscore" w:pos="8923"/>
        </w:tabs>
        <w:rPr>
          <w:rFonts w:eastAsiaTheme="minorEastAsia" w:cstheme="minorBidi"/>
          <w:b w:val="0"/>
          <w:bCs w:val="0"/>
          <w:caps w:val="0"/>
          <w:noProof/>
          <w:sz w:val="22"/>
          <w:szCs w:val="22"/>
          <w:lang w:eastAsia="pt-BR"/>
        </w:rPr>
      </w:pPr>
      <w:hyperlink w:anchor="_Toc497809487" w:history="1">
        <w:r w:rsidRPr="0074698B">
          <w:rPr>
            <w:rStyle w:val="Hyperlink"/>
            <w:rFonts w:ascii="Bookman Old Style" w:hAnsi="Bookman Old Style"/>
            <w:noProof/>
          </w:rPr>
          <w:t>XVIII.</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o Plano de Carreira Docente</w:t>
        </w:r>
        <w:r>
          <w:rPr>
            <w:noProof/>
            <w:webHidden/>
          </w:rPr>
          <w:tab/>
        </w:r>
        <w:r>
          <w:rPr>
            <w:noProof/>
            <w:webHidden/>
          </w:rPr>
          <w:fldChar w:fldCharType="begin"/>
        </w:r>
        <w:r>
          <w:rPr>
            <w:noProof/>
            <w:webHidden/>
          </w:rPr>
          <w:instrText xml:space="preserve"> PAGEREF _Toc497809487 \h </w:instrText>
        </w:r>
        <w:r>
          <w:rPr>
            <w:noProof/>
            <w:webHidden/>
          </w:rPr>
        </w:r>
        <w:r>
          <w:rPr>
            <w:noProof/>
            <w:webHidden/>
          </w:rPr>
          <w:fldChar w:fldCharType="separate"/>
        </w:r>
        <w:r>
          <w:rPr>
            <w:noProof/>
            <w:webHidden/>
          </w:rPr>
          <w:t>89</w:t>
        </w:r>
        <w:r>
          <w:rPr>
            <w:noProof/>
            <w:webHidden/>
          </w:rPr>
          <w:fldChar w:fldCharType="end"/>
        </w:r>
      </w:hyperlink>
    </w:p>
    <w:p w:rsidR="00AF08ED" w:rsidRDefault="00AF08ED">
      <w:pPr>
        <w:pStyle w:val="Sumrio1"/>
        <w:tabs>
          <w:tab w:val="left" w:pos="880"/>
          <w:tab w:val="right" w:leader="underscore" w:pos="8923"/>
        </w:tabs>
        <w:rPr>
          <w:rFonts w:eastAsiaTheme="minorEastAsia" w:cstheme="minorBidi"/>
          <w:b w:val="0"/>
          <w:bCs w:val="0"/>
          <w:caps w:val="0"/>
          <w:noProof/>
          <w:sz w:val="22"/>
          <w:szCs w:val="22"/>
          <w:lang w:eastAsia="pt-BR"/>
        </w:rPr>
      </w:pPr>
      <w:hyperlink w:anchor="_Toc497809488" w:history="1">
        <w:r w:rsidRPr="0074698B">
          <w:rPr>
            <w:rStyle w:val="Hyperlink"/>
            <w:rFonts w:ascii="Bookman Old Style" w:hAnsi="Bookman Old Style"/>
            <w:noProof/>
          </w:rPr>
          <w:t>XIX.</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a Gestão Democrática</w:t>
        </w:r>
        <w:r>
          <w:rPr>
            <w:noProof/>
            <w:webHidden/>
          </w:rPr>
          <w:tab/>
        </w:r>
        <w:r>
          <w:rPr>
            <w:noProof/>
            <w:webHidden/>
          </w:rPr>
          <w:fldChar w:fldCharType="begin"/>
        </w:r>
        <w:r>
          <w:rPr>
            <w:noProof/>
            <w:webHidden/>
          </w:rPr>
          <w:instrText xml:space="preserve"> PAGEREF _Toc497809488 \h </w:instrText>
        </w:r>
        <w:r>
          <w:rPr>
            <w:noProof/>
            <w:webHidden/>
          </w:rPr>
        </w:r>
        <w:r>
          <w:rPr>
            <w:noProof/>
            <w:webHidden/>
          </w:rPr>
          <w:fldChar w:fldCharType="separate"/>
        </w:r>
        <w:r>
          <w:rPr>
            <w:noProof/>
            <w:webHidden/>
          </w:rPr>
          <w:t>92</w:t>
        </w:r>
        <w:r>
          <w:rPr>
            <w:noProof/>
            <w:webHidden/>
          </w:rPr>
          <w:fldChar w:fldCharType="end"/>
        </w:r>
      </w:hyperlink>
    </w:p>
    <w:p w:rsidR="00AF08ED" w:rsidRDefault="00AF08ED">
      <w:pPr>
        <w:pStyle w:val="Sumrio1"/>
        <w:tabs>
          <w:tab w:val="left" w:pos="660"/>
          <w:tab w:val="right" w:leader="underscore" w:pos="8923"/>
        </w:tabs>
        <w:rPr>
          <w:rFonts w:eastAsiaTheme="minorEastAsia" w:cstheme="minorBidi"/>
          <w:b w:val="0"/>
          <w:bCs w:val="0"/>
          <w:caps w:val="0"/>
          <w:noProof/>
          <w:sz w:val="22"/>
          <w:szCs w:val="22"/>
          <w:lang w:eastAsia="pt-BR"/>
        </w:rPr>
      </w:pPr>
      <w:hyperlink w:anchor="_Toc497809489" w:history="1">
        <w:r w:rsidRPr="0074698B">
          <w:rPr>
            <w:rStyle w:val="Hyperlink"/>
            <w:rFonts w:ascii="Bookman Old Style" w:hAnsi="Bookman Old Style"/>
            <w:noProof/>
          </w:rPr>
          <w:t>XX.</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Meta sobre o Financiamento da Educação</w:t>
        </w:r>
        <w:r>
          <w:rPr>
            <w:noProof/>
            <w:webHidden/>
          </w:rPr>
          <w:tab/>
        </w:r>
        <w:r>
          <w:rPr>
            <w:noProof/>
            <w:webHidden/>
          </w:rPr>
          <w:fldChar w:fldCharType="begin"/>
        </w:r>
        <w:r>
          <w:rPr>
            <w:noProof/>
            <w:webHidden/>
          </w:rPr>
          <w:instrText xml:space="preserve"> PAGEREF _Toc497809489 \h </w:instrText>
        </w:r>
        <w:r>
          <w:rPr>
            <w:noProof/>
            <w:webHidden/>
          </w:rPr>
        </w:r>
        <w:r>
          <w:rPr>
            <w:noProof/>
            <w:webHidden/>
          </w:rPr>
          <w:fldChar w:fldCharType="separate"/>
        </w:r>
        <w:r>
          <w:rPr>
            <w:noProof/>
            <w:webHidden/>
          </w:rPr>
          <w:t>95</w:t>
        </w:r>
        <w:r>
          <w:rPr>
            <w:noProof/>
            <w:webHidden/>
          </w:rPr>
          <w:fldChar w:fldCharType="end"/>
        </w:r>
      </w:hyperlink>
    </w:p>
    <w:p w:rsidR="00AF08ED" w:rsidRDefault="00AF08ED">
      <w:pPr>
        <w:pStyle w:val="Sumrio1"/>
        <w:tabs>
          <w:tab w:val="left" w:pos="440"/>
          <w:tab w:val="right" w:leader="underscore" w:pos="8923"/>
        </w:tabs>
        <w:rPr>
          <w:rFonts w:eastAsiaTheme="minorEastAsia" w:cstheme="minorBidi"/>
          <w:b w:val="0"/>
          <w:bCs w:val="0"/>
          <w:caps w:val="0"/>
          <w:noProof/>
          <w:sz w:val="22"/>
          <w:szCs w:val="22"/>
          <w:lang w:eastAsia="pt-BR"/>
        </w:rPr>
      </w:pPr>
      <w:hyperlink w:anchor="_Toc497809490" w:history="1">
        <w:r w:rsidRPr="0074698B">
          <w:rPr>
            <w:rStyle w:val="Hyperlink"/>
            <w:rFonts w:ascii="Bookman Old Style" w:hAnsi="Bookman Old Style"/>
            <w:noProof/>
          </w:rPr>
          <w:t>3.</w:t>
        </w:r>
        <w:r>
          <w:rPr>
            <w:rFonts w:eastAsiaTheme="minorEastAsia" w:cstheme="minorBidi"/>
            <w:b w:val="0"/>
            <w:bCs w:val="0"/>
            <w:caps w:val="0"/>
            <w:noProof/>
            <w:sz w:val="22"/>
            <w:szCs w:val="22"/>
            <w:lang w:eastAsia="pt-BR"/>
          </w:rPr>
          <w:tab/>
        </w:r>
        <w:r w:rsidRPr="0074698B">
          <w:rPr>
            <w:rStyle w:val="Hyperlink"/>
            <w:rFonts w:ascii="Bookman Old Style" w:hAnsi="Bookman Old Style"/>
            <w:noProof/>
          </w:rPr>
          <w:t>CONSIDERAÇÕES FINAIS</w:t>
        </w:r>
        <w:r>
          <w:rPr>
            <w:noProof/>
            <w:webHidden/>
          </w:rPr>
          <w:tab/>
        </w:r>
        <w:r>
          <w:rPr>
            <w:noProof/>
            <w:webHidden/>
          </w:rPr>
          <w:fldChar w:fldCharType="begin"/>
        </w:r>
        <w:r>
          <w:rPr>
            <w:noProof/>
            <w:webHidden/>
          </w:rPr>
          <w:instrText xml:space="preserve"> PAGEREF _Toc497809490 \h </w:instrText>
        </w:r>
        <w:r>
          <w:rPr>
            <w:noProof/>
            <w:webHidden/>
          </w:rPr>
        </w:r>
        <w:r>
          <w:rPr>
            <w:noProof/>
            <w:webHidden/>
          </w:rPr>
          <w:fldChar w:fldCharType="separate"/>
        </w:r>
        <w:r>
          <w:rPr>
            <w:noProof/>
            <w:webHidden/>
          </w:rPr>
          <w:t>100</w:t>
        </w:r>
        <w:r>
          <w:rPr>
            <w:noProof/>
            <w:webHidden/>
          </w:rPr>
          <w:fldChar w:fldCharType="end"/>
        </w:r>
      </w:hyperlink>
    </w:p>
    <w:p w:rsidR="00AF08ED" w:rsidRDefault="00AF08ED">
      <w:pPr>
        <w:pStyle w:val="Sumrio2"/>
        <w:tabs>
          <w:tab w:val="right" w:leader="underscore" w:pos="8923"/>
        </w:tabs>
        <w:rPr>
          <w:rFonts w:eastAsiaTheme="minorEastAsia" w:cstheme="minorBidi"/>
          <w:smallCaps w:val="0"/>
          <w:noProof/>
          <w:sz w:val="22"/>
          <w:szCs w:val="22"/>
          <w:lang w:eastAsia="pt-BR"/>
        </w:rPr>
      </w:pPr>
      <w:hyperlink w:anchor="_Toc497809491" w:history="1">
        <w:r w:rsidRPr="00AF08ED">
          <w:rPr>
            <w:rStyle w:val="Hyperlink"/>
            <w:rFonts w:ascii="Bookman Old Style" w:hAnsi="Bookman Old Style"/>
            <w:b/>
            <w:noProof/>
          </w:rPr>
          <w:t>Nota Técnica:</w:t>
        </w:r>
        <w:r>
          <w:rPr>
            <w:noProof/>
            <w:webHidden/>
          </w:rPr>
          <w:tab/>
        </w:r>
        <w:r>
          <w:rPr>
            <w:noProof/>
            <w:webHidden/>
          </w:rPr>
          <w:fldChar w:fldCharType="begin"/>
        </w:r>
        <w:r>
          <w:rPr>
            <w:noProof/>
            <w:webHidden/>
          </w:rPr>
          <w:instrText xml:space="preserve"> PAGEREF _Toc497809491 \h </w:instrText>
        </w:r>
        <w:r>
          <w:rPr>
            <w:noProof/>
            <w:webHidden/>
          </w:rPr>
        </w:r>
        <w:r>
          <w:rPr>
            <w:noProof/>
            <w:webHidden/>
          </w:rPr>
          <w:fldChar w:fldCharType="separate"/>
        </w:r>
        <w:r>
          <w:rPr>
            <w:noProof/>
            <w:webHidden/>
          </w:rPr>
          <w:t>102</w:t>
        </w:r>
        <w:r>
          <w:rPr>
            <w:noProof/>
            <w:webHidden/>
          </w:rPr>
          <w:fldChar w:fldCharType="end"/>
        </w:r>
      </w:hyperlink>
    </w:p>
    <w:p w:rsidR="005D409F" w:rsidRPr="00B3094D" w:rsidRDefault="00AF08ED" w:rsidP="000C317A">
      <w:pPr>
        <w:jc w:val="center"/>
        <w:rPr>
          <w:rFonts w:ascii="Bookman Old Style" w:hAnsi="Bookman Old Style" w:cs="Times New Roman"/>
          <w:b/>
          <w:color w:val="000000" w:themeColor="text1"/>
          <w:sz w:val="24"/>
          <w:szCs w:val="24"/>
        </w:rPr>
      </w:pPr>
      <w:r>
        <w:rPr>
          <w:rFonts w:ascii="Bookman Old Style" w:hAnsi="Bookman Old Style" w:cs="Times New Roman"/>
          <w:b/>
          <w:color w:val="000000" w:themeColor="text1"/>
          <w:sz w:val="24"/>
          <w:szCs w:val="24"/>
        </w:rPr>
        <w:fldChar w:fldCharType="end"/>
      </w:r>
    </w:p>
    <w:p w:rsidR="005D409F" w:rsidRPr="00B3094D" w:rsidRDefault="005D409F" w:rsidP="000C317A">
      <w:pPr>
        <w:jc w:val="center"/>
        <w:rPr>
          <w:rFonts w:ascii="Bookman Old Style" w:hAnsi="Bookman Old Style" w:cs="Times New Roman"/>
          <w:b/>
          <w:color w:val="000000" w:themeColor="text1"/>
          <w:sz w:val="24"/>
          <w:szCs w:val="24"/>
        </w:rPr>
      </w:pPr>
    </w:p>
    <w:p w:rsidR="005D409F" w:rsidRPr="00951285" w:rsidRDefault="00AF08ED" w:rsidP="00951285">
      <w:pPr>
        <w:pStyle w:val="Ttulo1"/>
        <w:jc w:val="center"/>
        <w:rPr>
          <w:rFonts w:ascii="Bookman Old Style" w:hAnsi="Bookman Old Style"/>
          <w:color w:val="auto"/>
        </w:rPr>
      </w:pPr>
      <w:bookmarkStart w:id="1" w:name="_Toc497809467"/>
      <w:r>
        <w:rPr>
          <w:rFonts w:ascii="Bookman Old Style" w:hAnsi="Bookman Old Style"/>
          <w:color w:val="auto"/>
        </w:rPr>
        <w:t>A</w:t>
      </w:r>
      <w:r w:rsidR="005D409F" w:rsidRPr="00951285">
        <w:rPr>
          <w:rFonts w:ascii="Bookman Old Style" w:hAnsi="Bookman Old Style"/>
          <w:color w:val="auto"/>
        </w:rPr>
        <w:t>PRESENTAÇÃO</w:t>
      </w:r>
      <w:bookmarkEnd w:id="1"/>
    </w:p>
    <w:p w:rsidR="005D409F" w:rsidRPr="00B3094D" w:rsidRDefault="005D409F" w:rsidP="006B68B5">
      <w:pPr>
        <w:spacing w:line="360" w:lineRule="auto"/>
        <w:ind w:firstLine="567"/>
        <w:jc w:val="both"/>
        <w:rPr>
          <w:rFonts w:ascii="Bookman Old Style" w:hAnsi="Bookman Old Style" w:cs="Times New Roman"/>
          <w:color w:val="000000" w:themeColor="text1"/>
          <w:sz w:val="24"/>
          <w:szCs w:val="24"/>
        </w:rPr>
      </w:pPr>
    </w:p>
    <w:p w:rsidR="006B68B5" w:rsidRPr="00B3094D" w:rsidRDefault="006B68B5" w:rsidP="006B68B5">
      <w:pPr>
        <w:spacing w:line="360" w:lineRule="auto"/>
        <w:ind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O Relatório </w:t>
      </w:r>
      <w:r w:rsidR="000144C3">
        <w:rPr>
          <w:rFonts w:ascii="Bookman Old Style" w:hAnsi="Bookman Old Style" w:cs="Times New Roman"/>
          <w:color w:val="000000" w:themeColor="text1"/>
          <w:sz w:val="24"/>
          <w:szCs w:val="24"/>
        </w:rPr>
        <w:t>de</w:t>
      </w:r>
      <w:r w:rsidRPr="00B3094D">
        <w:rPr>
          <w:rFonts w:ascii="Bookman Old Style" w:hAnsi="Bookman Old Style" w:cs="Times New Roman"/>
          <w:color w:val="000000" w:themeColor="text1"/>
          <w:sz w:val="24"/>
          <w:szCs w:val="24"/>
        </w:rPr>
        <w:t xml:space="preserve"> </w:t>
      </w:r>
      <w:r w:rsidR="00C67879">
        <w:rPr>
          <w:rFonts w:ascii="Bookman Old Style" w:hAnsi="Bookman Old Style" w:cs="Times New Roman"/>
          <w:color w:val="000000" w:themeColor="text1"/>
          <w:sz w:val="24"/>
          <w:szCs w:val="24"/>
        </w:rPr>
        <w:t>Avaliação</w:t>
      </w:r>
      <w:r w:rsidRPr="00B3094D">
        <w:rPr>
          <w:rFonts w:ascii="Bookman Old Style" w:hAnsi="Bookman Old Style" w:cs="Times New Roman"/>
          <w:color w:val="000000" w:themeColor="text1"/>
          <w:sz w:val="24"/>
          <w:szCs w:val="24"/>
        </w:rPr>
        <w:t xml:space="preserve"> do Plano Municipal de Educação (PME)</w:t>
      </w:r>
      <w:r w:rsidR="000144C3">
        <w:rPr>
          <w:rFonts w:ascii="Bookman Old Style" w:hAnsi="Bookman Old Style" w:cs="Times New Roman"/>
          <w:color w:val="000000" w:themeColor="text1"/>
          <w:sz w:val="24"/>
          <w:szCs w:val="24"/>
        </w:rPr>
        <w:t>, versão final,</w:t>
      </w:r>
      <w:r w:rsidRPr="00B3094D">
        <w:rPr>
          <w:rFonts w:ascii="Bookman Old Style" w:hAnsi="Bookman Old Style" w:cs="Times New Roman"/>
          <w:color w:val="000000" w:themeColor="text1"/>
          <w:sz w:val="24"/>
          <w:szCs w:val="24"/>
        </w:rPr>
        <w:t xml:space="preserve"> de Paulo Bento foi elaborado conjuntamente com a Equipe Técnica e a Coordenação Geral do PME</w:t>
      </w:r>
      <w:r w:rsidR="00C67879">
        <w:rPr>
          <w:rFonts w:ascii="Bookman Old Style" w:hAnsi="Bookman Old Style" w:cs="Times New Roman"/>
          <w:color w:val="000000" w:themeColor="text1"/>
          <w:sz w:val="24"/>
          <w:szCs w:val="24"/>
        </w:rPr>
        <w:t>, contando com apoio da Secretaria Municipal de Educação e do Conselho Municipal de Educação (CME)</w:t>
      </w:r>
      <w:r w:rsidRPr="00B3094D">
        <w:rPr>
          <w:rFonts w:ascii="Bookman Old Style" w:hAnsi="Bookman Old Style" w:cs="Times New Roman"/>
          <w:color w:val="000000" w:themeColor="text1"/>
          <w:sz w:val="24"/>
          <w:szCs w:val="24"/>
        </w:rPr>
        <w:t xml:space="preserve">. </w:t>
      </w:r>
    </w:p>
    <w:p w:rsidR="006B68B5" w:rsidRPr="00B3094D" w:rsidRDefault="006B68B5" w:rsidP="006B68B5">
      <w:pPr>
        <w:spacing w:line="360" w:lineRule="auto"/>
        <w:ind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Objetivou-se levantar dos dados já alcançados com relação as vinte (20) metas constantes e detalhados no PME, a fim de traçar um panorama equacional no que tange aos result</w:t>
      </w:r>
      <w:r w:rsidR="00F13526" w:rsidRPr="00B3094D">
        <w:rPr>
          <w:rFonts w:ascii="Bookman Old Style" w:hAnsi="Bookman Old Style" w:cs="Times New Roman"/>
          <w:color w:val="000000" w:themeColor="text1"/>
          <w:sz w:val="24"/>
          <w:szCs w:val="24"/>
        </w:rPr>
        <w:t>ados, expressos em percentuais e/ou</w:t>
      </w:r>
      <w:r w:rsidRPr="00B3094D">
        <w:rPr>
          <w:rFonts w:ascii="Bookman Old Style" w:hAnsi="Bookman Old Style" w:cs="Times New Roman"/>
          <w:color w:val="000000" w:themeColor="text1"/>
          <w:sz w:val="24"/>
          <w:szCs w:val="24"/>
        </w:rPr>
        <w:t xml:space="preserve"> valores absolutos.</w:t>
      </w:r>
      <w:r w:rsidR="003562A1" w:rsidRPr="00B3094D">
        <w:rPr>
          <w:rFonts w:ascii="Bookman Old Style" w:hAnsi="Bookman Old Style" w:cs="Times New Roman"/>
          <w:color w:val="000000" w:themeColor="text1"/>
          <w:sz w:val="24"/>
          <w:szCs w:val="24"/>
        </w:rPr>
        <w:t xml:space="preserve"> Levando em conta a dimensionalidade das estratégias previstas para cada uma das metas</w:t>
      </w:r>
      <w:r w:rsidR="00F13526" w:rsidRPr="00B3094D">
        <w:rPr>
          <w:rFonts w:ascii="Bookman Old Style" w:hAnsi="Bookman Old Style" w:cs="Times New Roman"/>
          <w:color w:val="000000" w:themeColor="text1"/>
          <w:sz w:val="24"/>
          <w:szCs w:val="24"/>
        </w:rPr>
        <w:t>, indicando as fontes de pesquisa para cada uma.</w:t>
      </w:r>
      <w:r w:rsidR="000144C3">
        <w:rPr>
          <w:rFonts w:ascii="Bookman Old Style" w:hAnsi="Bookman Old Style" w:cs="Times New Roman"/>
          <w:color w:val="000000" w:themeColor="text1"/>
          <w:sz w:val="24"/>
          <w:szCs w:val="24"/>
        </w:rPr>
        <w:t xml:space="preserve"> Tomando por base o documento do Relatório Anual de Monitoramento, do ponto de vista da sua estruturação e teor do conteúdo. </w:t>
      </w:r>
    </w:p>
    <w:p w:rsidR="00F13526" w:rsidRPr="00B3094D" w:rsidRDefault="00F13526" w:rsidP="006B68B5">
      <w:pPr>
        <w:spacing w:line="360" w:lineRule="auto"/>
        <w:ind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O Relatório </w:t>
      </w:r>
      <w:r w:rsidR="000144C3">
        <w:rPr>
          <w:rFonts w:ascii="Bookman Old Style" w:hAnsi="Bookman Old Style" w:cs="Times New Roman"/>
          <w:color w:val="000000" w:themeColor="text1"/>
          <w:sz w:val="24"/>
          <w:szCs w:val="24"/>
        </w:rPr>
        <w:t>de Avaliação do PME enseja</w:t>
      </w:r>
      <w:r w:rsidRPr="00B3094D">
        <w:rPr>
          <w:rFonts w:ascii="Bookman Old Style" w:hAnsi="Bookman Old Style" w:cs="Times New Roman"/>
          <w:color w:val="000000" w:themeColor="text1"/>
          <w:sz w:val="24"/>
          <w:szCs w:val="24"/>
        </w:rPr>
        <w:t xml:space="preserve"> além de mensurar sob a forma metodológica as metas e estratégias do </w:t>
      </w:r>
      <w:r w:rsidR="000144C3">
        <w:rPr>
          <w:rFonts w:ascii="Bookman Old Style" w:hAnsi="Bookman Old Style" w:cs="Times New Roman"/>
          <w:color w:val="000000" w:themeColor="text1"/>
          <w:sz w:val="24"/>
          <w:szCs w:val="24"/>
        </w:rPr>
        <w:t>Plano</w:t>
      </w:r>
      <w:r w:rsidRPr="00B3094D">
        <w:rPr>
          <w:rFonts w:ascii="Bookman Old Style" w:hAnsi="Bookman Old Style" w:cs="Times New Roman"/>
          <w:color w:val="000000" w:themeColor="text1"/>
          <w:sz w:val="24"/>
          <w:szCs w:val="24"/>
        </w:rPr>
        <w:t xml:space="preserve">, permitindo-nos quantificá-las e traçar um diagnóstico temporal, </w:t>
      </w:r>
      <w:r w:rsidR="000144C3">
        <w:rPr>
          <w:rFonts w:ascii="Bookman Old Style" w:hAnsi="Bookman Old Style" w:cs="Times New Roman"/>
          <w:color w:val="000000" w:themeColor="text1"/>
          <w:sz w:val="24"/>
          <w:szCs w:val="24"/>
        </w:rPr>
        <w:t>identificando</w:t>
      </w:r>
      <w:r w:rsidRPr="00B3094D">
        <w:rPr>
          <w:rFonts w:ascii="Bookman Old Style" w:hAnsi="Bookman Old Style" w:cs="Times New Roman"/>
          <w:color w:val="000000" w:themeColor="text1"/>
          <w:sz w:val="24"/>
          <w:szCs w:val="24"/>
        </w:rPr>
        <w:t xml:space="preserve"> as possíveis deficiências e melhoramentos a serem efetivados</w:t>
      </w:r>
      <w:r w:rsidR="000144C3">
        <w:rPr>
          <w:rFonts w:ascii="Bookman Old Style" w:hAnsi="Bookman Old Style" w:cs="Times New Roman"/>
          <w:color w:val="000000" w:themeColor="text1"/>
          <w:sz w:val="24"/>
          <w:szCs w:val="24"/>
        </w:rPr>
        <w:t xml:space="preserve">, expressos nos dados percentuais. Há também o detalhado para cada meta no que tange a relevância da mesma, sua contextualização, o relacionamento das estratégias para com a meta, análise dos lados levantados e quantificados e a conclusão.  </w:t>
      </w:r>
    </w:p>
    <w:p w:rsidR="0046092F" w:rsidRPr="00B3094D" w:rsidRDefault="0046092F" w:rsidP="00AC7EF4">
      <w:pPr>
        <w:ind w:firstLine="567"/>
        <w:rPr>
          <w:rFonts w:ascii="Bookman Old Style" w:hAnsi="Bookman Old Style" w:cs="Times New Roman"/>
          <w:color w:val="000000" w:themeColor="text1"/>
          <w:sz w:val="24"/>
          <w:szCs w:val="24"/>
        </w:rPr>
      </w:pPr>
    </w:p>
    <w:p w:rsidR="00545986" w:rsidRPr="00B3094D" w:rsidRDefault="00545986" w:rsidP="0011736C">
      <w:pPr>
        <w:rPr>
          <w:rFonts w:ascii="Bookman Old Style" w:hAnsi="Bookman Old Style" w:cs="Times New Roman"/>
          <w:color w:val="000000" w:themeColor="text1"/>
          <w:sz w:val="24"/>
          <w:szCs w:val="24"/>
        </w:rPr>
      </w:pPr>
    </w:p>
    <w:p w:rsidR="00545986" w:rsidRPr="00B3094D" w:rsidRDefault="00545986" w:rsidP="0011736C">
      <w:pPr>
        <w:rPr>
          <w:rFonts w:ascii="Bookman Old Style" w:hAnsi="Bookman Old Style" w:cs="Times New Roman"/>
          <w:color w:val="000000" w:themeColor="text1"/>
          <w:sz w:val="24"/>
          <w:szCs w:val="24"/>
        </w:rPr>
      </w:pPr>
    </w:p>
    <w:p w:rsidR="00545986" w:rsidRPr="00B3094D" w:rsidRDefault="00545986" w:rsidP="0011736C">
      <w:pPr>
        <w:rPr>
          <w:rFonts w:ascii="Bookman Old Style" w:hAnsi="Bookman Old Style" w:cs="Times New Roman"/>
          <w:color w:val="000000" w:themeColor="text1"/>
          <w:sz w:val="24"/>
          <w:szCs w:val="24"/>
        </w:rPr>
      </w:pPr>
    </w:p>
    <w:p w:rsidR="00545986" w:rsidRPr="00B3094D" w:rsidRDefault="00545986" w:rsidP="0011736C">
      <w:pPr>
        <w:rPr>
          <w:rFonts w:ascii="Bookman Old Style" w:hAnsi="Bookman Old Style" w:cs="Times New Roman"/>
          <w:color w:val="000000" w:themeColor="text1"/>
          <w:sz w:val="24"/>
          <w:szCs w:val="24"/>
        </w:rPr>
      </w:pPr>
    </w:p>
    <w:p w:rsidR="00AF290D" w:rsidRPr="00951285" w:rsidRDefault="00EE1BA3" w:rsidP="00951285">
      <w:pPr>
        <w:pStyle w:val="Ttulo1"/>
        <w:numPr>
          <w:ilvl w:val="0"/>
          <w:numId w:val="23"/>
        </w:numPr>
        <w:ind w:left="284" w:hanging="284"/>
        <w:rPr>
          <w:rFonts w:ascii="Bookman Old Style" w:hAnsi="Bookman Old Style"/>
          <w:color w:val="auto"/>
        </w:rPr>
      </w:pPr>
      <w:bookmarkStart w:id="2" w:name="_Toc497809468"/>
      <w:r w:rsidRPr="00951285">
        <w:rPr>
          <w:rFonts w:ascii="Bookman Old Style" w:hAnsi="Bookman Old Style"/>
          <w:color w:val="auto"/>
        </w:rPr>
        <w:t>PROCESSO DE MONITORAMENTO E EXECUÇÃO DO PME:</w:t>
      </w:r>
      <w:bookmarkEnd w:id="2"/>
    </w:p>
    <w:p w:rsidR="005D409F" w:rsidRPr="00B3094D" w:rsidRDefault="005D409F" w:rsidP="005D409F">
      <w:pPr>
        <w:pStyle w:val="PargrafodaLista"/>
        <w:ind w:left="1080"/>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No concernente às questões organizativas e metodológicas do monitoramento do Plano, segui-se o preconizado no caderno do PNE em Movimento (Caderno de Orientações para Monitoramento e Avaliação dos Planos Municipais de Educação). </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A primeira iniciativa tomada foi a de efetuar a verificação do Plano em vigência quanto à definição das instâncias responsáveis pelo monitoramento e avaliação. Da verificação foi constatado que na Lei Municipal nº. 1538/16, que aprova o Plano Municipal de Educação, no seu art. 3°, dispõe a respeito das instâncias responsáveis para atualização do diagnóstico, objetivando promover o balanço dos resultados e a consecução das metas previstas. Ficando especificadas as seguintes instâncias em Lei: Secretaria Municipal de Educação, Conselho Municipal de Educação e Fórum Municipal de Educação.</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Efetuou-se a constituição e Equipe Técnica para o monitoramento do Plano, via Portaria Municipal nº. 213/2016, objetivando efetuar o levantamento e a sistematização de todos os dados e informações, bem como atuar diretamente no monitoramento e avaliação do Plano.  Em seguida</w:t>
      </w:r>
      <w:r w:rsidR="00EE1BA3">
        <w:rPr>
          <w:rFonts w:ascii="Bookman Old Style" w:hAnsi="Bookman Old Style" w:cs="Times New Roman"/>
          <w:color w:val="000000" w:themeColor="text1"/>
          <w:sz w:val="24"/>
          <w:szCs w:val="24"/>
        </w:rPr>
        <w:t>, após análise do teor da Lei Municipal nº. 1538/2015 de aprovação do Plano</w:t>
      </w:r>
      <w:proofErr w:type="gramStart"/>
      <w:r w:rsidR="00EE1BA3">
        <w:rPr>
          <w:rFonts w:ascii="Bookman Old Style" w:hAnsi="Bookman Old Style" w:cs="Times New Roman"/>
          <w:color w:val="000000" w:themeColor="text1"/>
          <w:sz w:val="24"/>
          <w:szCs w:val="24"/>
        </w:rPr>
        <w:t>, diagnosticou-se</w:t>
      </w:r>
      <w:proofErr w:type="gramEnd"/>
      <w:r w:rsidR="00EE1BA3">
        <w:rPr>
          <w:rFonts w:ascii="Bookman Old Style" w:hAnsi="Bookman Old Style" w:cs="Times New Roman"/>
          <w:color w:val="000000" w:themeColor="text1"/>
          <w:sz w:val="24"/>
          <w:szCs w:val="24"/>
        </w:rPr>
        <w:t xml:space="preserve"> que inexiste datas específicas para o início do monitoramento. Procedeu-se com a expedição de</w:t>
      </w:r>
      <w:r w:rsidRPr="00B3094D">
        <w:rPr>
          <w:rFonts w:ascii="Bookman Old Style" w:hAnsi="Bookman Old Style" w:cs="Times New Roman"/>
          <w:color w:val="000000" w:themeColor="text1"/>
          <w:sz w:val="24"/>
          <w:szCs w:val="24"/>
        </w:rPr>
        <w:t xml:space="preserve"> Nota Técnica pela Secretaria Municipal de Educação, Conselho Municipal de Educação e Fórum Municipal de Educação</w:t>
      </w:r>
      <w:r w:rsidR="00EE1BA3">
        <w:rPr>
          <w:rFonts w:ascii="Bookman Old Style" w:hAnsi="Bookman Old Style" w:cs="Times New Roman"/>
          <w:color w:val="000000" w:themeColor="text1"/>
          <w:sz w:val="24"/>
          <w:szCs w:val="24"/>
        </w:rPr>
        <w:t xml:space="preserve"> (anexa a este documento)</w:t>
      </w:r>
      <w:r w:rsidRPr="00B3094D">
        <w:rPr>
          <w:rFonts w:ascii="Bookman Old Style" w:hAnsi="Bookman Old Style" w:cs="Times New Roman"/>
          <w:color w:val="000000" w:themeColor="text1"/>
          <w:sz w:val="24"/>
          <w:szCs w:val="24"/>
        </w:rPr>
        <w:t xml:space="preserve">, objetivando estabelecer </w:t>
      </w:r>
      <w:r w:rsidR="00EE1BA3">
        <w:rPr>
          <w:rFonts w:ascii="Bookman Old Style" w:hAnsi="Bookman Old Style" w:cs="Times New Roman"/>
          <w:color w:val="000000" w:themeColor="text1"/>
          <w:sz w:val="24"/>
          <w:szCs w:val="24"/>
        </w:rPr>
        <w:t xml:space="preserve">e clarificar </w:t>
      </w:r>
      <w:r w:rsidRPr="00B3094D">
        <w:rPr>
          <w:rFonts w:ascii="Bookman Old Style" w:hAnsi="Bookman Old Style" w:cs="Times New Roman"/>
          <w:color w:val="000000" w:themeColor="text1"/>
          <w:sz w:val="24"/>
          <w:szCs w:val="24"/>
        </w:rPr>
        <w:t>os períodos de avaliação e monitoramento do Plano</w:t>
      </w:r>
      <w:r w:rsidR="00EE1BA3">
        <w:rPr>
          <w:rFonts w:ascii="Bookman Old Style" w:hAnsi="Bookman Old Style" w:cs="Times New Roman"/>
          <w:color w:val="000000" w:themeColor="text1"/>
          <w:sz w:val="24"/>
          <w:szCs w:val="24"/>
        </w:rPr>
        <w:t>.</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Após a definição das instâncias, foi promovida a articulação entre ambas ensejando </w:t>
      </w:r>
      <w:proofErr w:type="gramStart"/>
      <w:r w:rsidRPr="00B3094D">
        <w:rPr>
          <w:rFonts w:ascii="Bookman Old Style" w:hAnsi="Bookman Old Style" w:cs="Times New Roman"/>
          <w:color w:val="000000" w:themeColor="text1"/>
          <w:sz w:val="24"/>
          <w:szCs w:val="24"/>
        </w:rPr>
        <w:t>otimizar</w:t>
      </w:r>
      <w:proofErr w:type="gramEnd"/>
      <w:r w:rsidRPr="00B3094D">
        <w:rPr>
          <w:rFonts w:ascii="Bookman Old Style" w:hAnsi="Bookman Old Style" w:cs="Times New Roman"/>
          <w:color w:val="000000" w:themeColor="text1"/>
          <w:sz w:val="24"/>
          <w:szCs w:val="24"/>
        </w:rPr>
        <w:t xml:space="preserve"> e garantir uma participação atuante e </w:t>
      </w:r>
      <w:r w:rsidRPr="00B3094D">
        <w:rPr>
          <w:rFonts w:ascii="Bookman Old Style" w:hAnsi="Bookman Old Style" w:cs="Times New Roman"/>
          <w:color w:val="000000" w:themeColor="text1"/>
          <w:sz w:val="24"/>
          <w:szCs w:val="24"/>
        </w:rPr>
        <w:lastRenderedPageBreak/>
        <w:t xml:space="preserve">democrática na etapa da avaliação e monitoramento, e a definição da </w:t>
      </w:r>
      <w:proofErr w:type="gramStart"/>
      <w:r w:rsidRPr="00B3094D">
        <w:rPr>
          <w:rFonts w:ascii="Bookman Old Style" w:hAnsi="Bookman Old Style" w:cs="Times New Roman"/>
          <w:color w:val="000000" w:themeColor="text1"/>
          <w:sz w:val="24"/>
          <w:szCs w:val="24"/>
        </w:rPr>
        <w:t>agenda</w:t>
      </w:r>
      <w:proofErr w:type="gramEnd"/>
      <w:r w:rsidRPr="00B3094D">
        <w:rPr>
          <w:rFonts w:ascii="Bookman Old Style" w:hAnsi="Bookman Old Style" w:cs="Times New Roman"/>
          <w:color w:val="000000" w:themeColor="text1"/>
          <w:sz w:val="24"/>
          <w:szCs w:val="24"/>
        </w:rPr>
        <w:t xml:space="preserve"> de trabalho onde detalharam-se as etapas, suas ações, os responsáveis, prazos estimados e as observações, pertinentes a toda a etapa de monitoramento e avaliação do Plano.</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Adotou-se como instrumental a ficha de Monitoramento do Plano Municipal de Educação, disposta em três partes, que corresponde a organizar o trabalho, parte “A”; estudar o plano, parte “B”; e monitorar continuamente as metas e estratégias, parte “C”.</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Para o preenchimento da parte “B”da ficha de monitoramento a equipe técnica efetuou a releitura do plano, estabelecendo e balizando as metas sob a forma cronológica, para a melhor visualização. Objetivando destacar e especificar as estratégias, prazo e efetuando a consulta se há previsão orçamentária elencada nos dispositivos legais orçamentários do Executivo Municipal (Plano Plurianual, Lei Orçamentária Anual e Lei das Diretrizes Orçamentárias).</w:t>
      </w:r>
    </w:p>
    <w:p w:rsidR="00F13526" w:rsidRPr="00B3094D"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No concernente a parte “C” do monitoramento, responsável pelos balizadores do monitoramento, objetivou auferir o panorama em que se encontram as metas, e se as suas estratégias realmente contribuem para o seu cumprimento (meta), para isso o instrumental que afere a evolução da meta é o indicador. Os indicadores foram definidos no processo de elaboração do plano e </w:t>
      </w:r>
      <w:proofErr w:type="gramStart"/>
      <w:r w:rsidRPr="00B3094D">
        <w:rPr>
          <w:rFonts w:ascii="Bookman Old Style" w:hAnsi="Bookman Old Style" w:cs="Times New Roman"/>
          <w:color w:val="000000" w:themeColor="text1"/>
          <w:sz w:val="24"/>
          <w:szCs w:val="24"/>
        </w:rPr>
        <w:t>adotou-se</w:t>
      </w:r>
      <w:proofErr w:type="gramEnd"/>
      <w:r w:rsidRPr="00B3094D">
        <w:rPr>
          <w:rFonts w:ascii="Bookman Old Style" w:hAnsi="Bookman Old Style" w:cs="Times New Roman"/>
          <w:color w:val="000000" w:themeColor="text1"/>
          <w:sz w:val="24"/>
          <w:szCs w:val="24"/>
        </w:rPr>
        <w:t xml:space="preserve"> também os sugeridos no PNE em Movimento (web site: http://pne.mec.gov.br/). As fontes de comprovações dos indicadores estão detalhadas em cada meta na ficha de monitoramento, bem como o ano base do dado consultado.</w:t>
      </w:r>
    </w:p>
    <w:p w:rsidR="00F13526" w:rsidRDefault="00F13526" w:rsidP="00F13526">
      <w:pPr>
        <w:pStyle w:val="PargrafodaLista"/>
        <w:spacing w:line="360" w:lineRule="auto"/>
        <w:ind w:left="0" w:firstLine="567"/>
        <w:jc w:val="both"/>
        <w:rPr>
          <w:rFonts w:ascii="Bookman Old Style" w:hAnsi="Bookman Old Style" w:cs="Times New Roman"/>
          <w:color w:val="000000" w:themeColor="text1"/>
          <w:sz w:val="24"/>
          <w:szCs w:val="24"/>
        </w:rPr>
      </w:pPr>
      <w:r w:rsidRPr="00B3094D">
        <w:rPr>
          <w:rFonts w:ascii="Bookman Old Style" w:hAnsi="Bookman Old Style" w:cs="Times New Roman"/>
          <w:color w:val="000000" w:themeColor="text1"/>
          <w:sz w:val="24"/>
          <w:szCs w:val="24"/>
        </w:rPr>
        <w:t xml:space="preserve">Ocorreu também na etapa de “Estudo do Plano”, a readequação das ações de monitoramento previstas na Agenda de Trabalho, ficando definida a análise e atualização dos dados constantes no relatório de monitoramento, efetuada de forma conjunta com representantes da Equipe </w:t>
      </w:r>
      <w:r w:rsidRPr="00B3094D">
        <w:rPr>
          <w:rFonts w:ascii="Bookman Old Style" w:hAnsi="Bookman Old Style" w:cs="Times New Roman"/>
          <w:color w:val="000000" w:themeColor="text1"/>
          <w:sz w:val="24"/>
          <w:szCs w:val="24"/>
        </w:rPr>
        <w:lastRenderedPageBreak/>
        <w:t xml:space="preserve">Técnica, Conselho Municipal de Educação, Secretaria Municipal de Educação e Fórum da Educação no Município.  Objetivou-se realizarem as a conferência e atualização dos dados, para posterior análise por parte da Equipe Técnica, intuindo organizar as informações para </w:t>
      </w:r>
      <w:r w:rsidR="00EE1BA3">
        <w:rPr>
          <w:rFonts w:ascii="Bookman Old Style" w:hAnsi="Bookman Old Style" w:cs="Times New Roman"/>
          <w:color w:val="000000" w:themeColor="text1"/>
          <w:sz w:val="24"/>
          <w:szCs w:val="24"/>
        </w:rPr>
        <w:t>a</w:t>
      </w:r>
      <w:r w:rsidRPr="00B3094D">
        <w:rPr>
          <w:rFonts w:ascii="Bookman Old Style" w:hAnsi="Bookman Old Style" w:cs="Times New Roman"/>
          <w:color w:val="000000" w:themeColor="text1"/>
          <w:sz w:val="24"/>
          <w:szCs w:val="24"/>
        </w:rPr>
        <w:t xml:space="preserve"> elaboração do relatório.</w:t>
      </w:r>
      <w:r w:rsidR="00EE1BA3">
        <w:rPr>
          <w:rFonts w:ascii="Bookman Old Style" w:hAnsi="Bookman Old Style" w:cs="Times New Roman"/>
          <w:color w:val="000000" w:themeColor="text1"/>
          <w:sz w:val="24"/>
          <w:szCs w:val="24"/>
        </w:rPr>
        <w:t xml:space="preserve"> </w:t>
      </w:r>
    </w:p>
    <w:p w:rsidR="0093091E" w:rsidRDefault="0093091E" w:rsidP="00F13526">
      <w:pPr>
        <w:pStyle w:val="PargrafodaLista"/>
        <w:spacing w:line="360" w:lineRule="auto"/>
        <w:ind w:left="0"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Procedeu-se também com a adequação das metas do PME, que não se encontravam em consonância e alinhadas com a PNE (Plano Nacional de Educação), a serem apreciadas em Audiência Pública, para a aprovação.</w:t>
      </w:r>
    </w:p>
    <w:p w:rsidR="0093091E" w:rsidRPr="00B3094D" w:rsidRDefault="0093091E" w:rsidP="00F13526">
      <w:pPr>
        <w:pStyle w:val="PargrafodaLista"/>
        <w:spacing w:line="360" w:lineRule="auto"/>
        <w:ind w:left="0" w:firstLine="567"/>
        <w:jc w:val="both"/>
        <w:rPr>
          <w:rFonts w:ascii="Bookman Old Style" w:hAnsi="Bookman Old Style" w:cs="Times New Roman"/>
          <w:color w:val="000000" w:themeColor="text1"/>
          <w:sz w:val="24"/>
          <w:szCs w:val="24"/>
        </w:rPr>
      </w:pPr>
    </w:p>
    <w:p w:rsidR="00AF290D" w:rsidRPr="00951285" w:rsidRDefault="00D022A1" w:rsidP="00951285">
      <w:pPr>
        <w:pStyle w:val="Ttulo1"/>
        <w:numPr>
          <w:ilvl w:val="0"/>
          <w:numId w:val="23"/>
        </w:numPr>
        <w:ind w:left="426" w:hanging="426"/>
        <w:jc w:val="both"/>
        <w:rPr>
          <w:rFonts w:ascii="Bookman Old Style" w:hAnsi="Bookman Old Style"/>
          <w:color w:val="auto"/>
        </w:rPr>
      </w:pPr>
      <w:bookmarkStart w:id="3" w:name="_Toc497809469"/>
      <w:r w:rsidRPr="00951285">
        <w:rPr>
          <w:rFonts w:ascii="Bookman Old Style" w:hAnsi="Bookman Old Style"/>
          <w:color w:val="auto"/>
        </w:rPr>
        <w:t xml:space="preserve">METAS DO PLANO MUNICIPAL DE </w:t>
      </w:r>
      <w:proofErr w:type="gramStart"/>
      <w:r w:rsidRPr="00951285">
        <w:rPr>
          <w:rFonts w:ascii="Bookman Old Style" w:hAnsi="Bookman Old Style"/>
          <w:color w:val="auto"/>
        </w:rPr>
        <w:t>EDUCAÇÃO OBSERVADAS NO PERÍODO</w:t>
      </w:r>
      <w:proofErr w:type="gramEnd"/>
      <w:r w:rsidR="00967DD4" w:rsidRPr="00951285">
        <w:rPr>
          <w:rFonts w:ascii="Bookman Old Style" w:hAnsi="Bookman Old Style"/>
          <w:color w:val="auto"/>
        </w:rPr>
        <w:t>.</w:t>
      </w:r>
      <w:bookmarkEnd w:id="3"/>
    </w:p>
    <w:p w:rsidR="00F13526" w:rsidRPr="00B3094D" w:rsidRDefault="00F13526" w:rsidP="00F13526">
      <w:pPr>
        <w:pStyle w:val="PargrafodaLista"/>
        <w:ind w:left="142"/>
        <w:rPr>
          <w:rFonts w:ascii="Bookman Old Style" w:hAnsi="Bookman Old Style" w:cs="Times New Roman"/>
          <w:b/>
          <w:color w:val="000000" w:themeColor="text1"/>
          <w:sz w:val="24"/>
          <w:szCs w:val="24"/>
        </w:rPr>
      </w:pPr>
    </w:p>
    <w:p w:rsidR="00967DD4" w:rsidRPr="00B3094D" w:rsidRDefault="00967DD4" w:rsidP="00967DD4">
      <w:pPr>
        <w:pStyle w:val="PargrafodaLista"/>
        <w:ind w:left="0"/>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Metas estruturantes para a garantia do direito à educação básica com qualidade</w:t>
      </w:r>
      <w:r w:rsidR="0049069B" w:rsidRPr="00B3094D">
        <w:rPr>
          <w:rFonts w:ascii="Bookman Old Style" w:hAnsi="Bookman Old Style" w:cs="Times New Roman"/>
          <w:b/>
          <w:color w:val="000000" w:themeColor="text1"/>
          <w:sz w:val="24"/>
          <w:szCs w:val="24"/>
          <w:u w:val="single"/>
        </w:rPr>
        <w:t>:</w:t>
      </w:r>
    </w:p>
    <w:p w:rsidR="00AD778D" w:rsidRPr="00B3094D" w:rsidRDefault="00AD778D" w:rsidP="00AD778D">
      <w:pPr>
        <w:pStyle w:val="PargrafodaLista"/>
        <w:rPr>
          <w:rFonts w:ascii="Bookman Old Style" w:hAnsi="Bookman Old Style" w:cs="Times New Roman"/>
          <w:b/>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1</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Universalizar, até 2016, o atendimento escolar da população de 4(quatro) a 5(cinco) anos de idade e ampliar a oferta de educação infantil em creche de forma a atender, no mínimo, 50% (</w:t>
      </w:r>
      <w:proofErr w:type="spellStart"/>
      <w:r w:rsidRPr="00B3094D">
        <w:rPr>
          <w:rFonts w:ascii="Bookman Old Style" w:hAnsi="Bookman Old Style" w:cs="Times New Roman"/>
          <w:color w:val="000000" w:themeColor="text1"/>
          <w:sz w:val="24"/>
          <w:szCs w:val="24"/>
        </w:rPr>
        <w:t>cinquenta</w:t>
      </w:r>
      <w:proofErr w:type="spellEnd"/>
      <w:r w:rsidRPr="00B3094D">
        <w:rPr>
          <w:rFonts w:ascii="Bookman Old Style" w:hAnsi="Bookman Old Style" w:cs="Times New Roman"/>
          <w:color w:val="000000" w:themeColor="text1"/>
          <w:sz w:val="24"/>
          <w:szCs w:val="24"/>
        </w:rPr>
        <w:t xml:space="preserve"> por cento) das crianças de até 3 (três) anos até o final da vigência deste PME.</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02:</w:t>
      </w:r>
      <w:r w:rsidRPr="00B3094D">
        <w:rPr>
          <w:rFonts w:ascii="Bookman Old Style" w:hAnsi="Bookman Old Style" w:cs="Times New Roman"/>
          <w:color w:val="000000" w:themeColor="text1"/>
          <w:sz w:val="24"/>
          <w:szCs w:val="24"/>
        </w:rPr>
        <w:t xml:space="preserve"> Universalizar o Ensino Fundamental de nove anos para toda a população de seis a quatorze anos e garantir que pelo menos 95% (noventa e cinco) dos alunos concluam essa etapa na idade recomendada, até o ultimo ano de vigência desse plano.</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3</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Universalizar, até 2018 o atendimento escolar para toda a população de 15 (quinze) a 17 (dezessete) anos e elevar, até o final do </w:t>
      </w:r>
      <w:r w:rsidRPr="00B3094D">
        <w:rPr>
          <w:rFonts w:ascii="Bookman Old Style" w:hAnsi="Bookman Old Style" w:cs="Times New Roman"/>
          <w:color w:val="000000" w:themeColor="text1"/>
          <w:sz w:val="24"/>
          <w:szCs w:val="24"/>
        </w:rPr>
        <w:lastRenderedPageBreak/>
        <w:t>período de vigência deste plano, a taxa líquida de matrículas no ensino médio para 85% (oitenta e cinco por cento), nesta faixa etária.</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5</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Alfabetizar todas as crianças até, no máximo, os oito anos de idade.</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6</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Oferecer educação em tempo integral em 50% (</w:t>
      </w:r>
      <w:proofErr w:type="spellStart"/>
      <w:r w:rsidRPr="00B3094D">
        <w:rPr>
          <w:rFonts w:ascii="Bookman Old Style" w:hAnsi="Bookman Old Style" w:cs="Times New Roman"/>
          <w:color w:val="000000" w:themeColor="text1"/>
          <w:sz w:val="24"/>
          <w:szCs w:val="24"/>
        </w:rPr>
        <w:t>cinquenta</w:t>
      </w:r>
      <w:proofErr w:type="spellEnd"/>
      <w:r w:rsidRPr="00B3094D">
        <w:rPr>
          <w:rFonts w:ascii="Bookman Old Style" w:hAnsi="Bookman Old Style" w:cs="Times New Roman"/>
          <w:color w:val="000000" w:themeColor="text1"/>
          <w:sz w:val="24"/>
          <w:szCs w:val="24"/>
        </w:rPr>
        <w:t xml:space="preserve"> por cento) das escolas públicas de educação básica.</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7</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Fomentar a qualidade da Educação Básica em todas as etapas e modalidades,  com melhoria do fluxo escolar e da aprendizagem de modo a atingir as seguintes médias nacionais para o IDEB.  </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9</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Elevar a taxa de alfabetização da população com 15 (quinze) anos ou mais para 93,5%  (noventa e três inteiros e cinco décimos por cento) até 2020 e erradicar, até o final da vigência deste PME, o analfabetismo absoluto e reduzir em 50% (</w:t>
      </w:r>
      <w:proofErr w:type="spellStart"/>
      <w:r w:rsidRPr="00B3094D">
        <w:rPr>
          <w:rFonts w:ascii="Bookman Old Style" w:hAnsi="Bookman Old Style" w:cs="Times New Roman"/>
          <w:color w:val="000000" w:themeColor="text1"/>
          <w:sz w:val="24"/>
          <w:szCs w:val="24"/>
        </w:rPr>
        <w:t>cinquenta</w:t>
      </w:r>
      <w:proofErr w:type="spellEnd"/>
      <w:r w:rsidRPr="00B3094D">
        <w:rPr>
          <w:rFonts w:ascii="Bookman Old Style" w:hAnsi="Bookman Old Style" w:cs="Times New Roman"/>
          <w:color w:val="000000" w:themeColor="text1"/>
          <w:sz w:val="24"/>
          <w:szCs w:val="24"/>
        </w:rPr>
        <w:t xml:space="preserve"> por cento) a taxa de analfabetismo funcional.</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10:</w:t>
      </w:r>
      <w:r w:rsidRPr="00B3094D">
        <w:rPr>
          <w:rFonts w:ascii="Bookman Old Style" w:hAnsi="Bookman Old Style" w:cs="Times New Roman"/>
          <w:color w:val="000000" w:themeColor="text1"/>
          <w:sz w:val="24"/>
          <w:szCs w:val="24"/>
        </w:rPr>
        <w:t xml:space="preserve"> Oferecer, no mínimo, 25% (vinte e cinco por cento) das matrículas de educação de jovens e adultos, nos ensino fundamental e médio, de forma integrada à educação profissional.</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11:</w:t>
      </w:r>
      <w:r w:rsidRPr="00B3094D">
        <w:rPr>
          <w:rFonts w:ascii="Bookman Old Style" w:hAnsi="Bookman Old Style" w:cs="Times New Roman"/>
          <w:color w:val="000000" w:themeColor="text1"/>
          <w:sz w:val="24"/>
          <w:szCs w:val="24"/>
        </w:rPr>
        <w:t xml:space="preserve"> Ampliar as matrículas da educação de nível médio, assegurando a qualidade da oferta.</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967DD4" w:rsidRPr="00B3094D" w:rsidRDefault="00967DD4" w:rsidP="00967DD4">
      <w:pPr>
        <w:pStyle w:val="PargrafodaLista"/>
        <w:spacing w:line="360" w:lineRule="auto"/>
        <w:ind w:left="0"/>
        <w:jc w:val="both"/>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 xml:space="preserve">Metas referentes </w:t>
      </w:r>
      <w:r w:rsidR="0049069B" w:rsidRPr="00B3094D">
        <w:rPr>
          <w:rFonts w:ascii="Bookman Old Style" w:hAnsi="Bookman Old Style" w:cs="Times New Roman"/>
          <w:b/>
          <w:color w:val="000000" w:themeColor="text1"/>
          <w:sz w:val="24"/>
          <w:szCs w:val="24"/>
          <w:u w:val="single"/>
        </w:rPr>
        <w:t>à</w:t>
      </w:r>
      <w:r w:rsidRPr="00B3094D">
        <w:rPr>
          <w:rFonts w:ascii="Bookman Old Style" w:hAnsi="Bookman Old Style" w:cs="Times New Roman"/>
          <w:b/>
          <w:color w:val="000000" w:themeColor="text1"/>
          <w:sz w:val="24"/>
          <w:szCs w:val="24"/>
          <w:u w:val="single"/>
        </w:rPr>
        <w:t xml:space="preserve"> redução das desigualdades e à valorização da diversidade</w:t>
      </w:r>
      <w:r w:rsidR="0049069B" w:rsidRPr="00B3094D">
        <w:rPr>
          <w:rFonts w:ascii="Bookman Old Style" w:hAnsi="Bookman Old Style" w:cs="Times New Roman"/>
          <w:b/>
          <w:color w:val="000000" w:themeColor="text1"/>
          <w:sz w:val="24"/>
          <w:szCs w:val="24"/>
          <w:u w:val="single"/>
        </w:rPr>
        <w:t>:</w:t>
      </w:r>
    </w:p>
    <w:p w:rsidR="00967DD4" w:rsidRPr="00B3094D" w:rsidRDefault="00967DD4" w:rsidP="00F13526">
      <w:pPr>
        <w:pStyle w:val="PargrafodaLista"/>
        <w:spacing w:line="360" w:lineRule="auto"/>
        <w:ind w:left="0"/>
        <w:jc w:val="both"/>
        <w:rPr>
          <w:rFonts w:ascii="Bookman Old Style" w:hAnsi="Bookman Old Style" w:cs="Times New Roman"/>
          <w:color w:val="000000" w:themeColor="text1"/>
          <w:sz w:val="24"/>
          <w:szCs w:val="24"/>
        </w:rPr>
      </w:pPr>
    </w:p>
    <w:p w:rsidR="00967DD4" w:rsidRPr="00B3094D" w:rsidRDefault="00967DD4" w:rsidP="00967DD4">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4</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Universalizar, para a população de (4) quatro a (17) dezessete anos, com deficiência, transtornos globais do desenvolvimento e altas habilidades/</w:t>
      </w:r>
      <w:proofErr w:type="spellStart"/>
      <w:r w:rsidRPr="00B3094D">
        <w:rPr>
          <w:rFonts w:ascii="Bookman Old Style" w:hAnsi="Bookman Old Style" w:cs="Times New Roman"/>
          <w:color w:val="000000" w:themeColor="text1"/>
          <w:sz w:val="24"/>
          <w:szCs w:val="24"/>
        </w:rPr>
        <w:t>superdotação</w:t>
      </w:r>
      <w:proofErr w:type="spellEnd"/>
      <w:r w:rsidRPr="00B3094D">
        <w:rPr>
          <w:rFonts w:ascii="Bookman Old Style" w:hAnsi="Bookman Old Style" w:cs="Times New Roman"/>
          <w:color w:val="000000" w:themeColor="text1"/>
          <w:sz w:val="24"/>
          <w:szCs w:val="24"/>
        </w:rPr>
        <w:t>, o acesso a educação básica e ao atendimento educacional especializado, preferencialmente na rede regular de ensino, com a garantia de sistema educacional inclusivo, de salas de recursos multifuncionais, classes, escolas, ou serviços especializados, públicos ou conveniados.</w:t>
      </w:r>
    </w:p>
    <w:p w:rsidR="0049069B" w:rsidRPr="00B3094D" w:rsidRDefault="0049069B" w:rsidP="00967DD4">
      <w:pPr>
        <w:pStyle w:val="PargrafodaLista"/>
        <w:spacing w:line="360" w:lineRule="auto"/>
        <w:ind w:left="0"/>
        <w:jc w:val="both"/>
        <w:rPr>
          <w:rFonts w:ascii="Bookman Old Style" w:hAnsi="Bookman Old Style" w:cs="Times New Roman"/>
          <w:color w:val="000000" w:themeColor="text1"/>
          <w:sz w:val="24"/>
          <w:szCs w:val="24"/>
        </w:rPr>
      </w:pPr>
    </w:p>
    <w:p w:rsidR="00967DD4" w:rsidRPr="00B3094D" w:rsidRDefault="00967DD4" w:rsidP="00967DD4">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 xml:space="preserve">Meta </w:t>
      </w:r>
      <w:proofErr w:type="gramStart"/>
      <w:r w:rsidRPr="00B3094D">
        <w:rPr>
          <w:rFonts w:ascii="Bookman Old Style" w:hAnsi="Bookman Old Style" w:cs="Times New Roman"/>
          <w:b/>
          <w:color w:val="000000" w:themeColor="text1"/>
          <w:sz w:val="24"/>
          <w:szCs w:val="24"/>
        </w:rPr>
        <w:t>8</w:t>
      </w:r>
      <w:proofErr w:type="gramEnd"/>
      <w:r w:rsidRPr="00B3094D">
        <w:rPr>
          <w:rFonts w:ascii="Bookman Old Style" w:hAnsi="Bookman Old Style" w:cs="Times New Roman"/>
          <w:b/>
          <w:color w:val="000000" w:themeColor="text1"/>
          <w:sz w:val="24"/>
          <w:szCs w:val="24"/>
        </w:rPr>
        <w:t>:</w:t>
      </w:r>
      <w:r w:rsidRPr="00B3094D">
        <w:rPr>
          <w:rFonts w:ascii="Bookman Old Style" w:hAnsi="Bookman Old Style" w:cs="Times New Roman"/>
          <w:color w:val="000000" w:themeColor="text1"/>
          <w:sz w:val="24"/>
          <w:szCs w:val="24"/>
        </w:rPr>
        <w:t xml:space="preserve"> elevar a escolaridade média da população rural, dos mais pobres dos negros e não negros até o último ano de vigência deste PME.</w:t>
      </w:r>
    </w:p>
    <w:p w:rsidR="00967DD4" w:rsidRPr="00B3094D" w:rsidRDefault="00967DD4"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F13526">
      <w:pPr>
        <w:pStyle w:val="PargrafodaLista"/>
        <w:spacing w:line="360" w:lineRule="auto"/>
        <w:ind w:left="0"/>
        <w:jc w:val="both"/>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Metas referentes à valorização dos profissionais da educação:</w:t>
      </w:r>
    </w:p>
    <w:p w:rsidR="00967DD4" w:rsidRPr="00B3094D" w:rsidRDefault="00967DD4"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15:</w:t>
      </w:r>
      <w:r w:rsidRPr="00B3094D">
        <w:rPr>
          <w:rFonts w:ascii="Bookman Old Style" w:hAnsi="Bookman Old Style" w:cs="Times New Roman"/>
          <w:color w:val="000000" w:themeColor="text1"/>
          <w:sz w:val="24"/>
          <w:szCs w:val="24"/>
        </w:rPr>
        <w:t xml:space="preserve"> Garantir, em regime de colaboração entre a União, os Estados, o Distrito Federal e os Municípios, que todos os professores da educação básica </w:t>
      </w:r>
      <w:proofErr w:type="gramStart"/>
      <w:r w:rsidRPr="00B3094D">
        <w:rPr>
          <w:rFonts w:ascii="Bookman Old Style" w:hAnsi="Bookman Old Style" w:cs="Times New Roman"/>
          <w:color w:val="000000" w:themeColor="text1"/>
          <w:sz w:val="24"/>
          <w:szCs w:val="24"/>
        </w:rPr>
        <w:t>possuam</w:t>
      </w:r>
      <w:proofErr w:type="gramEnd"/>
      <w:r w:rsidRPr="00B3094D">
        <w:rPr>
          <w:rFonts w:ascii="Bookman Old Style" w:hAnsi="Bookman Old Style" w:cs="Times New Roman"/>
          <w:color w:val="000000" w:themeColor="text1"/>
          <w:sz w:val="24"/>
          <w:szCs w:val="24"/>
        </w:rPr>
        <w:t xml:space="preserve"> formação específica de nível superior, obtida em curso de licenciatura na área de conhecimento em que atuam.</w:t>
      </w: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16:</w:t>
      </w:r>
      <w:r w:rsidRPr="00B3094D">
        <w:rPr>
          <w:rFonts w:ascii="Bookman Old Style" w:hAnsi="Bookman Old Style" w:cs="Times New Roman"/>
          <w:color w:val="000000" w:themeColor="text1"/>
          <w:sz w:val="24"/>
          <w:szCs w:val="24"/>
        </w:rPr>
        <w:t xml:space="preserve"> Formar 90% (noventa por cento) dos professores da educação básica em nível de pós-graduação e garantir a </w:t>
      </w:r>
      <w:proofErr w:type="gramStart"/>
      <w:r w:rsidRPr="00B3094D">
        <w:rPr>
          <w:rFonts w:ascii="Bookman Old Style" w:hAnsi="Bookman Old Style" w:cs="Times New Roman"/>
          <w:color w:val="000000" w:themeColor="text1"/>
          <w:sz w:val="24"/>
          <w:szCs w:val="24"/>
        </w:rPr>
        <w:t>todos</w:t>
      </w:r>
      <w:proofErr w:type="gramEnd"/>
      <w:r w:rsidRPr="00B3094D">
        <w:rPr>
          <w:rFonts w:ascii="Bookman Old Style" w:hAnsi="Bookman Old Style" w:cs="Times New Roman"/>
          <w:color w:val="000000" w:themeColor="text1"/>
          <w:sz w:val="24"/>
          <w:szCs w:val="24"/>
        </w:rPr>
        <w:t xml:space="preserve"> formação continuada em sua área de atuação, considerando as necessidades dos sistemas de ensino. </w:t>
      </w: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17:</w:t>
      </w:r>
      <w:r w:rsidRPr="00B3094D">
        <w:rPr>
          <w:rFonts w:ascii="Bookman Old Style" w:hAnsi="Bookman Old Style" w:cs="Times New Roman"/>
          <w:color w:val="000000" w:themeColor="text1"/>
          <w:sz w:val="24"/>
          <w:szCs w:val="24"/>
        </w:rPr>
        <w:t xml:space="preserve"> Valorizar os profissionais do magistério das redes públicas de educação básica, de forma a equiparar seu rendimento médio ao dos demais profissionais da educação com escolaridade equivalente até o final do 6º (sexto) ano de vigência deste PME. </w:t>
      </w: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18:</w:t>
      </w:r>
      <w:r w:rsidRPr="00B3094D">
        <w:rPr>
          <w:rFonts w:ascii="Bookman Old Style" w:hAnsi="Bookman Old Style" w:cs="Times New Roman"/>
          <w:color w:val="000000" w:themeColor="text1"/>
          <w:sz w:val="24"/>
          <w:szCs w:val="24"/>
        </w:rPr>
        <w:t xml:space="preserve"> Assegurar, a existência de planos de carreira para os profissionais do magistério em todos os sistemas de ensino, tomando como referencia o piso salarial nacional profissional, definido em lei federal, nos termos do </w:t>
      </w:r>
      <w:proofErr w:type="spellStart"/>
      <w:proofErr w:type="gramStart"/>
      <w:r w:rsidRPr="00B3094D">
        <w:rPr>
          <w:rFonts w:ascii="Bookman Old Style" w:hAnsi="Bookman Old Style" w:cs="Times New Roman"/>
          <w:color w:val="000000" w:themeColor="text1"/>
          <w:sz w:val="24"/>
          <w:szCs w:val="24"/>
        </w:rPr>
        <w:t>incisoVIII</w:t>
      </w:r>
      <w:proofErr w:type="spellEnd"/>
      <w:proofErr w:type="gramEnd"/>
      <w:r w:rsidRPr="00B3094D">
        <w:rPr>
          <w:rFonts w:ascii="Bookman Old Style" w:hAnsi="Bookman Old Style" w:cs="Times New Roman"/>
          <w:color w:val="000000" w:themeColor="text1"/>
          <w:sz w:val="24"/>
          <w:szCs w:val="24"/>
        </w:rPr>
        <w:t>, no art. 206 da Constituição Federal.</w:t>
      </w:r>
    </w:p>
    <w:p w:rsidR="0049069B" w:rsidRPr="00B3094D" w:rsidRDefault="0049069B"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49069B">
      <w:pPr>
        <w:pStyle w:val="PargrafodaLista"/>
        <w:spacing w:line="360" w:lineRule="auto"/>
        <w:ind w:left="0"/>
        <w:jc w:val="both"/>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Metas referentes ao ensino superior:</w:t>
      </w:r>
    </w:p>
    <w:p w:rsidR="0049069B" w:rsidRPr="00B3094D" w:rsidRDefault="0049069B"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12:</w:t>
      </w:r>
      <w:r w:rsidRPr="00B3094D">
        <w:rPr>
          <w:rFonts w:ascii="Bookman Old Style" w:hAnsi="Bookman Old Style" w:cs="Times New Roman"/>
          <w:color w:val="000000" w:themeColor="text1"/>
          <w:sz w:val="24"/>
          <w:szCs w:val="24"/>
        </w:rPr>
        <w:t xml:space="preserve"> Elevar a taxa bruta de matrícula na educação superior para 50% (</w:t>
      </w:r>
      <w:proofErr w:type="spellStart"/>
      <w:r w:rsidRPr="00B3094D">
        <w:rPr>
          <w:rFonts w:ascii="Bookman Old Style" w:hAnsi="Bookman Old Style" w:cs="Times New Roman"/>
          <w:color w:val="000000" w:themeColor="text1"/>
          <w:sz w:val="24"/>
          <w:szCs w:val="24"/>
        </w:rPr>
        <w:t>cinquenta</w:t>
      </w:r>
      <w:proofErr w:type="spellEnd"/>
      <w:r w:rsidRPr="00B3094D">
        <w:rPr>
          <w:rFonts w:ascii="Bookman Old Style" w:hAnsi="Bookman Old Style" w:cs="Times New Roman"/>
          <w:color w:val="000000" w:themeColor="text1"/>
          <w:sz w:val="24"/>
          <w:szCs w:val="24"/>
        </w:rPr>
        <w:t xml:space="preserve"> por cento) e a taxa líquida para 33% (trinta e três por cento) da população de dezoito a vinte e quatro anos, assegurando a qualidade da oferta.</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13:</w:t>
      </w:r>
      <w:r w:rsidRPr="00B3094D">
        <w:rPr>
          <w:rFonts w:ascii="Bookman Old Style" w:hAnsi="Bookman Old Style" w:cs="Times New Roman"/>
          <w:color w:val="000000" w:themeColor="text1"/>
          <w:sz w:val="24"/>
          <w:szCs w:val="24"/>
        </w:rPr>
        <w:t xml:space="preserve"> Elevar a qualidade da educação superior pela ampliação da atuação de mestres e doutores nas instituições de Educação Superior para 75%, no mínimo, do corpo docente em efetivo exercício, sendo, do total, 35% doutores.  </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14:</w:t>
      </w:r>
      <w:r w:rsidRPr="00B3094D">
        <w:rPr>
          <w:rFonts w:ascii="Bookman Old Style" w:hAnsi="Bookman Old Style" w:cs="Times New Roman"/>
          <w:color w:val="000000" w:themeColor="text1"/>
          <w:sz w:val="24"/>
          <w:szCs w:val="24"/>
        </w:rPr>
        <w:t xml:space="preserve"> Elevar gradualmente o número de matrículas na pós-graduação </w:t>
      </w:r>
      <w:proofErr w:type="spellStart"/>
      <w:r w:rsidRPr="00B3094D">
        <w:rPr>
          <w:rFonts w:ascii="Bookman Old Style" w:hAnsi="Bookman Old Style" w:cs="Times New Roman"/>
          <w:color w:val="000000" w:themeColor="text1"/>
          <w:sz w:val="24"/>
          <w:szCs w:val="24"/>
        </w:rPr>
        <w:t>stricto</w:t>
      </w:r>
      <w:proofErr w:type="spellEnd"/>
      <w:r w:rsidRPr="00B3094D">
        <w:rPr>
          <w:rFonts w:ascii="Bookman Old Style" w:hAnsi="Bookman Old Style" w:cs="Times New Roman"/>
          <w:color w:val="000000" w:themeColor="text1"/>
          <w:sz w:val="24"/>
          <w:szCs w:val="24"/>
        </w:rPr>
        <w:t xml:space="preserve"> </w:t>
      </w:r>
      <w:proofErr w:type="spellStart"/>
      <w:r w:rsidRPr="00B3094D">
        <w:rPr>
          <w:rFonts w:ascii="Bookman Old Style" w:hAnsi="Bookman Old Style" w:cs="Times New Roman"/>
          <w:color w:val="000000" w:themeColor="text1"/>
          <w:sz w:val="24"/>
          <w:szCs w:val="24"/>
        </w:rPr>
        <w:t>sensu</w:t>
      </w:r>
      <w:proofErr w:type="spellEnd"/>
      <w:r w:rsidRPr="00B3094D">
        <w:rPr>
          <w:rFonts w:ascii="Bookman Old Style" w:hAnsi="Bookman Old Style" w:cs="Times New Roman"/>
          <w:color w:val="000000" w:themeColor="text1"/>
          <w:sz w:val="24"/>
          <w:szCs w:val="24"/>
        </w:rPr>
        <w:t>, de modo a atingir a titulação de 10%de mestres e</w:t>
      </w:r>
      <w:proofErr w:type="gramStart"/>
      <w:r w:rsidRPr="00B3094D">
        <w:rPr>
          <w:rFonts w:ascii="Bookman Old Style" w:hAnsi="Bookman Old Style" w:cs="Times New Roman"/>
          <w:color w:val="000000" w:themeColor="text1"/>
          <w:sz w:val="24"/>
          <w:szCs w:val="24"/>
        </w:rPr>
        <w:t xml:space="preserve">  </w:t>
      </w:r>
      <w:proofErr w:type="gramEnd"/>
      <w:r w:rsidRPr="00B3094D">
        <w:rPr>
          <w:rFonts w:ascii="Bookman Old Style" w:hAnsi="Bookman Old Style" w:cs="Times New Roman"/>
          <w:color w:val="000000" w:themeColor="text1"/>
          <w:sz w:val="24"/>
          <w:szCs w:val="24"/>
        </w:rPr>
        <w:t xml:space="preserve">doutores até o final da vigência deste PME.  </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49069B" w:rsidRPr="00B3094D" w:rsidRDefault="0049069B" w:rsidP="00F13526">
      <w:pPr>
        <w:pStyle w:val="PargrafodaLista"/>
        <w:spacing w:line="360" w:lineRule="auto"/>
        <w:ind w:left="0"/>
        <w:jc w:val="both"/>
        <w:rPr>
          <w:rFonts w:ascii="Bookman Old Style" w:hAnsi="Bookman Old Style" w:cs="Times New Roman"/>
          <w:b/>
          <w:color w:val="000000" w:themeColor="text1"/>
          <w:sz w:val="24"/>
          <w:szCs w:val="24"/>
          <w:u w:val="single"/>
        </w:rPr>
      </w:pPr>
      <w:r w:rsidRPr="00B3094D">
        <w:rPr>
          <w:rFonts w:ascii="Bookman Old Style" w:hAnsi="Bookman Old Style" w:cs="Times New Roman"/>
          <w:b/>
          <w:color w:val="000000" w:themeColor="text1"/>
          <w:sz w:val="24"/>
          <w:szCs w:val="24"/>
          <w:u w:val="single"/>
        </w:rPr>
        <w:t xml:space="preserve">Metas referentes </w:t>
      </w:r>
      <w:proofErr w:type="gramStart"/>
      <w:r w:rsidRPr="00B3094D">
        <w:rPr>
          <w:rFonts w:ascii="Bookman Old Style" w:hAnsi="Bookman Old Style" w:cs="Times New Roman"/>
          <w:b/>
          <w:color w:val="000000" w:themeColor="text1"/>
          <w:sz w:val="24"/>
          <w:szCs w:val="24"/>
          <w:u w:val="single"/>
        </w:rPr>
        <w:t>a</w:t>
      </w:r>
      <w:proofErr w:type="gramEnd"/>
      <w:r w:rsidRPr="00B3094D">
        <w:rPr>
          <w:rFonts w:ascii="Bookman Old Style" w:hAnsi="Bookman Old Style" w:cs="Times New Roman"/>
          <w:b/>
          <w:color w:val="000000" w:themeColor="text1"/>
          <w:sz w:val="24"/>
          <w:szCs w:val="24"/>
          <w:u w:val="single"/>
        </w:rPr>
        <w:t xml:space="preserve"> Gestão Democrática e investimento: </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19:</w:t>
      </w:r>
      <w:r w:rsidRPr="00B3094D">
        <w:rPr>
          <w:rFonts w:ascii="Bookman Old Style" w:hAnsi="Bookman Old Style" w:cs="Times New Roman"/>
          <w:color w:val="000000" w:themeColor="text1"/>
          <w:sz w:val="24"/>
          <w:szCs w:val="24"/>
        </w:rPr>
        <w:t xml:space="preserve"> Assegurar condições, no prazo de dois anos, para a efetivação da gestão democrática da educação, associada a critérios técnicos de mérito e desempenho e a consulta pública à comunidade escolar, no âmbito das escolas públicas, prevendo recursos e apoio técnico da União para tanto.</w:t>
      </w:r>
    </w:p>
    <w:p w:rsidR="00F13526"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p>
    <w:p w:rsidR="00C76959" w:rsidRPr="00B3094D" w:rsidRDefault="00F13526" w:rsidP="00F13526">
      <w:pPr>
        <w:pStyle w:val="PargrafodaLista"/>
        <w:spacing w:line="360" w:lineRule="auto"/>
        <w:ind w:left="0"/>
        <w:jc w:val="both"/>
        <w:rPr>
          <w:rFonts w:ascii="Bookman Old Style" w:hAnsi="Bookman Old Style" w:cs="Times New Roman"/>
          <w:color w:val="000000" w:themeColor="text1"/>
          <w:sz w:val="24"/>
          <w:szCs w:val="24"/>
        </w:rPr>
      </w:pPr>
      <w:r w:rsidRPr="00B3094D">
        <w:rPr>
          <w:rFonts w:ascii="Bookman Old Style" w:hAnsi="Bookman Old Style" w:cs="Times New Roman"/>
          <w:b/>
          <w:color w:val="000000" w:themeColor="text1"/>
          <w:sz w:val="24"/>
          <w:szCs w:val="24"/>
        </w:rPr>
        <w:t>Meta 20:</w:t>
      </w:r>
      <w:r w:rsidRPr="00B3094D">
        <w:rPr>
          <w:rFonts w:ascii="Bookman Old Style" w:hAnsi="Bookman Old Style" w:cs="Times New Roman"/>
          <w:color w:val="000000" w:themeColor="text1"/>
          <w:sz w:val="24"/>
          <w:szCs w:val="24"/>
        </w:rPr>
        <w:t xml:space="preserve"> Ampliar progressivamente o investimento público em educação até atingir, no mínimo, o patamar de 7% (sete por cento) do produto interno bruto do País no quinto ano de vigência dessa Lei e até o final do decênio o equivalente a 10% (dez por cento) do PIB.</w:t>
      </w:r>
    </w:p>
    <w:p w:rsidR="00AD778D" w:rsidRPr="00951285" w:rsidRDefault="00AD778D" w:rsidP="00D81FEF">
      <w:pPr>
        <w:pStyle w:val="Ttulo1"/>
        <w:numPr>
          <w:ilvl w:val="0"/>
          <w:numId w:val="24"/>
        </w:numPr>
        <w:ind w:left="709" w:hanging="349"/>
        <w:rPr>
          <w:rFonts w:ascii="Bookman Old Style" w:hAnsi="Bookman Old Style"/>
          <w:color w:val="auto"/>
        </w:rPr>
      </w:pPr>
      <w:bookmarkStart w:id="4" w:name="_Toc497809470"/>
      <w:r w:rsidRPr="00951285">
        <w:rPr>
          <w:rFonts w:ascii="Bookman Old Style" w:hAnsi="Bookman Old Style"/>
          <w:color w:val="auto"/>
        </w:rPr>
        <w:t>Meta sobre Educação Infantil</w:t>
      </w:r>
      <w:bookmarkEnd w:id="4"/>
    </w:p>
    <w:p w:rsidR="00AD778D" w:rsidRPr="00B3094D" w:rsidRDefault="00AD778D" w:rsidP="00AD778D">
      <w:pPr>
        <w:rPr>
          <w:rFonts w:ascii="Bookman Old Style" w:hAnsi="Bookman Old Style" w:cs="Times New Roman"/>
          <w:b/>
          <w:color w:val="000000" w:themeColor="text1"/>
          <w:sz w:val="24"/>
          <w:szCs w:val="24"/>
        </w:rPr>
      </w:pPr>
    </w:p>
    <w:p w:rsidR="00402223" w:rsidRPr="00B3094D" w:rsidRDefault="009E72A8" w:rsidP="00B3094D">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w:t>
      </w:r>
      <w:r w:rsidR="00AD778D" w:rsidRPr="00B3094D">
        <w:rPr>
          <w:rFonts w:ascii="Bookman Old Style" w:hAnsi="Bookman Old Style" w:cs="Times New Roman"/>
          <w:b/>
          <w:color w:val="000000" w:themeColor="text1"/>
          <w:sz w:val="24"/>
          <w:szCs w:val="24"/>
        </w:rPr>
        <w:t xml:space="preserve">eta </w:t>
      </w:r>
      <w:proofErr w:type="gramStart"/>
      <w:r w:rsidR="00B3094D" w:rsidRPr="00B3094D">
        <w:rPr>
          <w:rFonts w:ascii="Bookman Old Style" w:hAnsi="Bookman Old Style" w:cs="Times New Roman"/>
          <w:b/>
          <w:color w:val="000000" w:themeColor="text1"/>
          <w:sz w:val="24"/>
          <w:szCs w:val="24"/>
        </w:rPr>
        <w:t>1</w:t>
      </w:r>
      <w:proofErr w:type="gramEnd"/>
      <w:r w:rsidR="00B3094D" w:rsidRPr="00B3094D">
        <w:rPr>
          <w:rFonts w:ascii="Bookman Old Style" w:hAnsi="Bookman Old Style" w:cs="Times New Roman"/>
          <w:b/>
          <w:color w:val="000000" w:themeColor="text1"/>
          <w:sz w:val="24"/>
          <w:szCs w:val="24"/>
        </w:rPr>
        <w:t xml:space="preserve">: </w:t>
      </w:r>
      <w:r w:rsidR="00B3094D" w:rsidRPr="00B3094D">
        <w:rPr>
          <w:rFonts w:ascii="Bookman Old Style" w:hAnsi="Bookman Old Style" w:cs="Times New Roman"/>
          <w:color w:val="000000" w:themeColor="text1"/>
          <w:sz w:val="24"/>
          <w:szCs w:val="24"/>
        </w:rPr>
        <w:t>Universalizar, até 2016, a educação infantil na pré-escola para as crianças de 4 (quatro) a 5 (cinco) anos de idade e ampliar a oferta de educação infantil em creches de forma a atender, no mínimo, 50% (</w:t>
      </w:r>
      <w:proofErr w:type="spellStart"/>
      <w:r w:rsidR="00B3094D" w:rsidRPr="00B3094D">
        <w:rPr>
          <w:rFonts w:ascii="Bookman Old Style" w:hAnsi="Bookman Old Style" w:cs="Times New Roman"/>
          <w:color w:val="000000" w:themeColor="text1"/>
          <w:sz w:val="24"/>
          <w:szCs w:val="24"/>
        </w:rPr>
        <w:t>cinquenta</w:t>
      </w:r>
      <w:proofErr w:type="spellEnd"/>
      <w:r w:rsidR="00B3094D" w:rsidRPr="00B3094D">
        <w:rPr>
          <w:rFonts w:ascii="Bookman Old Style" w:hAnsi="Bookman Old Style" w:cs="Times New Roman"/>
          <w:color w:val="000000" w:themeColor="text1"/>
          <w:sz w:val="24"/>
          <w:szCs w:val="24"/>
        </w:rPr>
        <w:t xml:space="preserve"> por cento) das crianças de até 3 (três) anos até o final da vigência do PNE.</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9E72A8" w:rsidRPr="00D049A9" w:rsidTr="00D049A9">
        <w:trPr>
          <w:gridBefore w:val="1"/>
          <w:wBefore w:w="1456" w:type="dxa"/>
          <w:trHeight w:val="145"/>
        </w:trPr>
        <w:tc>
          <w:tcPr>
            <w:tcW w:w="1330" w:type="dxa"/>
            <w:vAlign w:val="center"/>
          </w:tcPr>
          <w:p w:rsidR="00ED7A88" w:rsidRPr="00D049A9" w:rsidRDefault="00ED7A88" w:rsidP="00491338">
            <w:pPr>
              <w:rPr>
                <w:rFonts w:ascii="Bookman Old Style" w:hAnsi="Bookman Old Style" w:cs="Times New Roman"/>
                <w:color w:val="000000" w:themeColor="text1"/>
                <w:sz w:val="20"/>
                <w:szCs w:val="20"/>
              </w:rPr>
            </w:pPr>
          </w:p>
          <w:p w:rsidR="00D049A9" w:rsidRDefault="00AD778D" w:rsidP="0049133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Indicador </w:t>
            </w:r>
          </w:p>
          <w:p w:rsidR="009E72A8" w:rsidRPr="00D049A9" w:rsidRDefault="00B3094D" w:rsidP="00491338">
            <w:pPr>
              <w:jc w:val="center"/>
              <w:rPr>
                <w:rFonts w:ascii="Bookman Old Style" w:hAnsi="Bookman Old Style" w:cs="Times New Roman"/>
                <w:color w:val="000000" w:themeColor="text1"/>
                <w:sz w:val="20"/>
                <w:szCs w:val="20"/>
              </w:rPr>
            </w:pPr>
            <w:proofErr w:type="gramStart"/>
            <w:r w:rsidRPr="00D049A9">
              <w:rPr>
                <w:rFonts w:ascii="Bookman Old Style" w:hAnsi="Bookman Old Style" w:cs="Times New Roman"/>
                <w:b/>
                <w:color w:val="000000" w:themeColor="text1"/>
                <w:sz w:val="20"/>
                <w:szCs w:val="20"/>
              </w:rPr>
              <w:t>1</w:t>
            </w:r>
            <w:proofErr w:type="gramEnd"/>
            <w:r w:rsidRPr="00D049A9">
              <w:rPr>
                <w:rFonts w:ascii="Bookman Old Style" w:hAnsi="Bookman Old Style" w:cs="Times New Roman"/>
                <w:b/>
                <w:color w:val="000000" w:themeColor="text1"/>
                <w:sz w:val="20"/>
                <w:szCs w:val="20"/>
              </w:rPr>
              <w:t xml:space="preserve"> A</w:t>
            </w:r>
          </w:p>
          <w:p w:rsidR="00491338" w:rsidRPr="00D049A9" w:rsidRDefault="00491338" w:rsidP="00491338">
            <w:pPr>
              <w:jc w:val="center"/>
              <w:rPr>
                <w:rFonts w:ascii="Bookman Old Style" w:hAnsi="Bookman Old Style" w:cs="Times New Roman"/>
                <w:color w:val="000000" w:themeColor="text1"/>
                <w:sz w:val="20"/>
                <w:szCs w:val="20"/>
              </w:rPr>
            </w:pPr>
          </w:p>
        </w:tc>
        <w:tc>
          <w:tcPr>
            <w:tcW w:w="7640" w:type="dxa"/>
            <w:gridSpan w:val="3"/>
            <w:vAlign w:val="center"/>
          </w:tcPr>
          <w:p w:rsidR="009E72A8" w:rsidRPr="00D049A9" w:rsidRDefault="00B3094D" w:rsidP="007544A0">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 xml:space="preserve">Percentual da população de </w:t>
            </w:r>
            <w:proofErr w:type="gramStart"/>
            <w:r w:rsidRPr="00D049A9">
              <w:rPr>
                <w:rFonts w:ascii="Bookman Old Style" w:hAnsi="Bookman Old Style" w:cs="Times New Roman"/>
                <w:b/>
                <w:color w:val="000000" w:themeColor="text1"/>
                <w:sz w:val="20"/>
                <w:szCs w:val="20"/>
              </w:rPr>
              <w:t>4</w:t>
            </w:r>
            <w:proofErr w:type="gramEnd"/>
            <w:r w:rsidRPr="00D049A9">
              <w:rPr>
                <w:rFonts w:ascii="Bookman Old Style" w:hAnsi="Bookman Old Style" w:cs="Times New Roman"/>
                <w:b/>
                <w:color w:val="000000" w:themeColor="text1"/>
                <w:sz w:val="20"/>
                <w:szCs w:val="20"/>
              </w:rPr>
              <w:t xml:space="preserve"> e 5 anos que </w:t>
            </w:r>
            <w:proofErr w:type="spellStart"/>
            <w:r w:rsidRPr="00D049A9">
              <w:rPr>
                <w:rFonts w:ascii="Bookman Old Style" w:hAnsi="Bookman Old Style" w:cs="Times New Roman"/>
                <w:b/>
                <w:color w:val="000000" w:themeColor="text1"/>
                <w:sz w:val="20"/>
                <w:szCs w:val="20"/>
              </w:rPr>
              <w:t>frequenta</w:t>
            </w:r>
            <w:proofErr w:type="spellEnd"/>
            <w:r w:rsidRPr="00D049A9">
              <w:rPr>
                <w:rFonts w:ascii="Bookman Old Style" w:hAnsi="Bookman Old Style" w:cs="Times New Roman"/>
                <w:b/>
                <w:color w:val="000000" w:themeColor="text1"/>
                <w:sz w:val="20"/>
                <w:szCs w:val="20"/>
              </w:rPr>
              <w:t xml:space="preserve"> a escola.</w:t>
            </w:r>
          </w:p>
        </w:tc>
      </w:tr>
      <w:tr w:rsidR="009E72A8" w:rsidRPr="00D049A9" w:rsidTr="00D049A9">
        <w:tblPrEx>
          <w:tblCellMar>
            <w:left w:w="108" w:type="dxa"/>
            <w:right w:w="108" w:type="dxa"/>
          </w:tblCellMar>
          <w:tblLook w:val="04A0"/>
        </w:tblPrEx>
        <w:trPr>
          <w:gridBefore w:val="1"/>
          <w:wBefore w:w="1456" w:type="dxa"/>
          <w:trHeight w:val="325"/>
        </w:trPr>
        <w:tc>
          <w:tcPr>
            <w:tcW w:w="1330" w:type="dxa"/>
            <w:vAlign w:val="center"/>
          </w:tcPr>
          <w:p w:rsidR="009E72A8" w:rsidRPr="00D049A9" w:rsidRDefault="009E72A8" w:rsidP="00B44DA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9E72A8" w:rsidRPr="00D049A9" w:rsidRDefault="009E72A8" w:rsidP="009E72A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9E72A8" w:rsidRPr="00D049A9" w:rsidRDefault="009E72A8" w:rsidP="00B44DA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049A9" w:rsidRPr="00D049A9" w:rsidTr="00D049A9">
        <w:trPr>
          <w:trHeight w:val="284"/>
        </w:trPr>
        <w:tc>
          <w:tcPr>
            <w:tcW w:w="1456" w:type="dxa"/>
            <w:vMerge w:val="restart"/>
            <w:tcBorders>
              <w:top w:val="nil"/>
              <w:left w:val="nil"/>
              <w:bottom w:val="nil"/>
            </w:tcBorders>
            <w:shd w:val="clear" w:color="auto" w:fill="auto"/>
            <w:vAlign w:val="center"/>
          </w:tcPr>
          <w:p w:rsidR="00ED7A88" w:rsidRPr="00D049A9" w:rsidRDefault="00ED7A88" w:rsidP="009E72A8">
            <w:pPr>
              <w:jc w:val="center"/>
              <w:rPr>
                <w:rFonts w:ascii="Bookman Old Style" w:hAnsi="Bookman Old Style" w:cs="Times New Roman"/>
                <w:color w:val="000000" w:themeColor="text1"/>
                <w:sz w:val="20"/>
                <w:szCs w:val="20"/>
              </w:rPr>
            </w:pPr>
          </w:p>
        </w:tc>
        <w:tc>
          <w:tcPr>
            <w:tcW w:w="1330" w:type="dxa"/>
            <w:vMerge w:val="restart"/>
            <w:vAlign w:val="center"/>
          </w:tcPr>
          <w:p w:rsidR="00ED7A88" w:rsidRPr="00D049A9" w:rsidRDefault="00B3094D" w:rsidP="009E72A8">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100</w:t>
            </w:r>
            <w:r w:rsidR="00ED7A88" w:rsidRPr="00D049A9">
              <w:rPr>
                <w:rFonts w:ascii="Bookman Old Style" w:hAnsi="Bookman Old Style" w:cs="Times New Roman"/>
                <w:b/>
                <w:color w:val="000000" w:themeColor="text1"/>
                <w:sz w:val="20"/>
                <w:szCs w:val="20"/>
              </w:rPr>
              <w:t>%</w:t>
            </w:r>
          </w:p>
        </w:tc>
        <w:tc>
          <w:tcPr>
            <w:tcW w:w="1292" w:type="dxa"/>
            <w:vAlign w:val="center"/>
          </w:tcPr>
          <w:p w:rsidR="00ED7A88" w:rsidRPr="00D049A9" w:rsidRDefault="00ED7A88" w:rsidP="009E72A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DADO OFICIAL</w:t>
            </w:r>
            <w:r w:rsidR="0048582D" w:rsidRPr="00D049A9">
              <w:rPr>
                <w:rFonts w:ascii="Bookman Old Style" w:hAnsi="Bookman Old Style" w:cs="Times New Roman"/>
                <w:color w:val="000000" w:themeColor="text1"/>
                <w:sz w:val="20"/>
                <w:szCs w:val="20"/>
              </w:rPr>
              <w:t xml:space="preserve"> </w:t>
            </w:r>
            <w:r w:rsidR="0048582D" w:rsidRPr="00D049A9">
              <w:rPr>
                <w:rFonts w:ascii="Times New Roman" w:hAnsi="Times New Roman" w:cs="Times New Roman"/>
                <w:color w:val="000000" w:themeColor="text1"/>
                <w:sz w:val="20"/>
                <w:szCs w:val="20"/>
              </w:rPr>
              <w:t>⃰⃰</w:t>
            </w:r>
          </w:p>
        </w:tc>
        <w:tc>
          <w:tcPr>
            <w:tcW w:w="1699" w:type="dxa"/>
            <w:vAlign w:val="center"/>
          </w:tcPr>
          <w:p w:rsidR="00ED7A88" w:rsidRPr="00D049A9" w:rsidRDefault="002F2868" w:rsidP="009E72A8">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56,30</w:t>
            </w:r>
            <w:r w:rsidR="00ED7A88" w:rsidRPr="00D049A9">
              <w:rPr>
                <w:rFonts w:ascii="Bookman Old Style" w:hAnsi="Bookman Old Style" w:cs="Times New Roman"/>
                <w:b/>
                <w:color w:val="000000" w:themeColor="text1"/>
                <w:sz w:val="20"/>
                <w:szCs w:val="20"/>
              </w:rPr>
              <w:t>%</w:t>
            </w:r>
          </w:p>
        </w:tc>
        <w:tc>
          <w:tcPr>
            <w:tcW w:w="4649" w:type="dxa"/>
            <w:vAlign w:val="center"/>
          </w:tcPr>
          <w:p w:rsidR="00ED7A88" w:rsidRPr="00D049A9" w:rsidRDefault="002F2868" w:rsidP="002F2868">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http://simec.mec.gov.br/pde/graficopne.</w:t>
            </w:r>
            <w:proofErr w:type="gramEnd"/>
            <w:r w:rsidRPr="00D049A9">
              <w:rPr>
                <w:rFonts w:ascii="Bookman Old Style" w:hAnsi="Bookman Old Style" w:cs="Times New Roman"/>
                <w:color w:val="000000" w:themeColor="text1"/>
                <w:sz w:val="20"/>
                <w:szCs w:val="20"/>
              </w:rPr>
              <w:t>php, acesso em dezembro de 2016. Relatório Linha de Base do INEP 2014.</w:t>
            </w:r>
          </w:p>
        </w:tc>
      </w:tr>
      <w:tr w:rsidR="00D049A9" w:rsidRPr="00D049A9" w:rsidTr="00D049A9">
        <w:trPr>
          <w:trHeight w:val="284"/>
        </w:trPr>
        <w:tc>
          <w:tcPr>
            <w:tcW w:w="1456" w:type="dxa"/>
            <w:vMerge/>
            <w:tcBorders>
              <w:left w:val="nil"/>
              <w:bottom w:val="nil"/>
            </w:tcBorders>
            <w:shd w:val="clear" w:color="auto" w:fill="auto"/>
            <w:vAlign w:val="center"/>
          </w:tcPr>
          <w:p w:rsidR="00ED7A88" w:rsidRPr="00D049A9" w:rsidRDefault="00ED7A88" w:rsidP="009E72A8">
            <w:pPr>
              <w:jc w:val="center"/>
              <w:rPr>
                <w:rFonts w:ascii="Bookman Old Style" w:hAnsi="Bookman Old Style" w:cs="Times New Roman"/>
                <w:color w:val="000000" w:themeColor="text1"/>
                <w:sz w:val="20"/>
                <w:szCs w:val="20"/>
              </w:rPr>
            </w:pPr>
          </w:p>
        </w:tc>
        <w:tc>
          <w:tcPr>
            <w:tcW w:w="1330" w:type="dxa"/>
            <w:vMerge/>
            <w:vAlign w:val="center"/>
          </w:tcPr>
          <w:p w:rsidR="00ED7A88" w:rsidRPr="00D049A9" w:rsidRDefault="00ED7A88" w:rsidP="009E72A8">
            <w:pPr>
              <w:jc w:val="center"/>
              <w:rPr>
                <w:rFonts w:ascii="Bookman Old Style" w:hAnsi="Bookman Old Style" w:cs="Times New Roman"/>
                <w:b/>
                <w:color w:val="000000" w:themeColor="text1"/>
                <w:sz w:val="20"/>
                <w:szCs w:val="20"/>
              </w:rPr>
            </w:pPr>
          </w:p>
        </w:tc>
        <w:tc>
          <w:tcPr>
            <w:tcW w:w="1292" w:type="dxa"/>
            <w:vAlign w:val="center"/>
          </w:tcPr>
          <w:p w:rsidR="0048582D" w:rsidRPr="00D049A9" w:rsidRDefault="00ED7A88" w:rsidP="009E72A8">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DADO MUNICÍPAL</w:t>
            </w:r>
          </w:p>
          <w:p w:rsidR="00ED7A88" w:rsidRPr="00D049A9" w:rsidRDefault="0048582D" w:rsidP="009E72A8">
            <w:pPr>
              <w:jc w:val="center"/>
              <w:rPr>
                <w:rFonts w:ascii="Bookman Old Style" w:hAnsi="Bookman Old Style" w:cs="Times New Roman"/>
                <w:color w:val="000000" w:themeColor="text1"/>
                <w:sz w:val="20"/>
                <w:szCs w:val="20"/>
              </w:rPr>
            </w:pPr>
            <w:r w:rsidRPr="00D049A9">
              <w:rPr>
                <w:rFonts w:ascii="Bookman Old Style" w:hAnsi="Times New Roman" w:cs="Times New Roman"/>
                <w:color w:val="000000" w:themeColor="text1"/>
                <w:sz w:val="20"/>
                <w:szCs w:val="20"/>
              </w:rPr>
              <w:t>⃰⃰</w:t>
            </w:r>
            <w:r w:rsidRPr="00D049A9">
              <w:rPr>
                <w:rFonts w:ascii="Bookman Old Style" w:hAnsi="Bookman Old Style" w:cs="Times New Roman"/>
                <w:color w:val="000000" w:themeColor="text1"/>
                <w:sz w:val="20"/>
                <w:szCs w:val="20"/>
              </w:rPr>
              <w:t xml:space="preserve">  </w:t>
            </w:r>
            <w:r w:rsidRPr="00D049A9">
              <w:rPr>
                <w:rFonts w:ascii="Times New Roman" w:hAnsi="Times New Roman" w:cs="Times New Roman"/>
                <w:color w:val="000000" w:themeColor="text1"/>
                <w:sz w:val="20"/>
                <w:szCs w:val="20"/>
              </w:rPr>
              <w:t>⃰⃰</w:t>
            </w:r>
            <w:r w:rsidRPr="00D049A9">
              <w:rPr>
                <w:rFonts w:ascii="Bookman Old Style" w:hAnsi="Bookman Old Style" w:cs="Times New Roman"/>
                <w:color w:val="000000" w:themeColor="text1"/>
                <w:sz w:val="20"/>
                <w:szCs w:val="20"/>
              </w:rPr>
              <w:t xml:space="preserve">  </w:t>
            </w:r>
          </w:p>
        </w:tc>
        <w:tc>
          <w:tcPr>
            <w:tcW w:w="1699" w:type="dxa"/>
            <w:vAlign w:val="center"/>
          </w:tcPr>
          <w:p w:rsidR="00ED7A88" w:rsidRPr="00D049A9" w:rsidRDefault="002F2868" w:rsidP="009E72A8">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100,00</w:t>
            </w:r>
            <w:r w:rsidR="00ED7A88" w:rsidRPr="00D049A9">
              <w:rPr>
                <w:rFonts w:ascii="Bookman Old Style" w:hAnsi="Bookman Old Style" w:cs="Times New Roman"/>
                <w:b/>
                <w:color w:val="000000" w:themeColor="text1"/>
                <w:sz w:val="20"/>
                <w:szCs w:val="20"/>
              </w:rPr>
              <w:t>%</w:t>
            </w:r>
          </w:p>
        </w:tc>
        <w:tc>
          <w:tcPr>
            <w:tcW w:w="4649" w:type="dxa"/>
            <w:vAlign w:val="center"/>
          </w:tcPr>
          <w:p w:rsidR="00ED7A88" w:rsidRPr="00D049A9" w:rsidRDefault="002F2868" w:rsidP="002F2868">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Secretaria Municipal de Educação, Censo Escolar de 2016.</w:t>
            </w:r>
          </w:p>
        </w:tc>
      </w:tr>
    </w:tbl>
    <w:p w:rsidR="00D049A9" w:rsidRDefault="00D049A9" w:rsidP="00D049A9">
      <w:pPr>
        <w:pStyle w:val="PargrafodaLista"/>
        <w:ind w:left="1353"/>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D049A9" w:rsidRPr="00D049A9" w:rsidTr="00D049A9">
        <w:trPr>
          <w:gridBefore w:val="1"/>
          <w:wBefore w:w="1456" w:type="dxa"/>
          <w:trHeight w:val="948"/>
        </w:trPr>
        <w:tc>
          <w:tcPr>
            <w:tcW w:w="1330" w:type="dxa"/>
            <w:vAlign w:val="center"/>
          </w:tcPr>
          <w:p w:rsidR="00D049A9" w:rsidRPr="00D049A9" w:rsidRDefault="00D049A9" w:rsidP="007A7F04">
            <w:pPr>
              <w:rPr>
                <w:rFonts w:ascii="Bookman Old Style" w:hAnsi="Bookman Old Style" w:cs="Times New Roman"/>
                <w:color w:val="000000" w:themeColor="text1"/>
                <w:sz w:val="20"/>
                <w:szCs w:val="20"/>
              </w:rPr>
            </w:pPr>
          </w:p>
          <w:p w:rsid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sidRPr="00D049A9">
              <w:rPr>
                <w:rFonts w:ascii="Bookman Old Style" w:hAnsi="Bookman Old Style" w:cs="Times New Roman"/>
                <w:b/>
                <w:color w:val="000000" w:themeColor="text1"/>
                <w:sz w:val="20"/>
                <w:szCs w:val="20"/>
              </w:rPr>
              <w:t>1</w:t>
            </w:r>
            <w:proofErr w:type="gramEnd"/>
            <w:r w:rsidRPr="00D049A9">
              <w:rPr>
                <w:rFonts w:ascii="Bookman Old Style" w:hAnsi="Bookman Old Style" w:cs="Times New Roman"/>
                <w:b/>
                <w:color w:val="000000" w:themeColor="text1"/>
                <w:sz w:val="20"/>
                <w:szCs w:val="20"/>
              </w:rPr>
              <w:t xml:space="preserve"> B</w:t>
            </w:r>
          </w:p>
          <w:p w:rsidR="00D049A9" w:rsidRPr="00D049A9" w:rsidRDefault="00D049A9" w:rsidP="007A7F04">
            <w:pPr>
              <w:jc w:val="center"/>
              <w:rPr>
                <w:rFonts w:ascii="Bookman Old Style" w:hAnsi="Bookman Old Style" w:cs="Times New Roman"/>
                <w:color w:val="000000" w:themeColor="text1"/>
                <w:sz w:val="20"/>
                <w:szCs w:val="20"/>
              </w:rPr>
            </w:pPr>
          </w:p>
        </w:tc>
        <w:tc>
          <w:tcPr>
            <w:tcW w:w="7640" w:type="dxa"/>
            <w:gridSpan w:val="3"/>
            <w:vAlign w:val="center"/>
          </w:tcPr>
          <w:p w:rsidR="00D049A9" w:rsidRPr="00D049A9" w:rsidRDefault="00D049A9" w:rsidP="007A7F04">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 xml:space="preserve">Percentual da população de 0 a </w:t>
            </w:r>
            <w:proofErr w:type="gramStart"/>
            <w:r w:rsidRPr="00D049A9">
              <w:rPr>
                <w:rFonts w:ascii="Bookman Old Style" w:hAnsi="Bookman Old Style" w:cs="Times New Roman"/>
                <w:b/>
                <w:color w:val="000000" w:themeColor="text1"/>
                <w:sz w:val="20"/>
                <w:szCs w:val="20"/>
              </w:rPr>
              <w:t>3</w:t>
            </w:r>
            <w:proofErr w:type="gramEnd"/>
            <w:r w:rsidRPr="00D049A9">
              <w:rPr>
                <w:rFonts w:ascii="Bookman Old Style" w:hAnsi="Bookman Old Style" w:cs="Times New Roman"/>
                <w:b/>
                <w:color w:val="000000" w:themeColor="text1"/>
                <w:sz w:val="20"/>
                <w:szCs w:val="20"/>
              </w:rPr>
              <w:t xml:space="preserve"> anos que </w:t>
            </w:r>
            <w:proofErr w:type="spellStart"/>
            <w:r w:rsidRPr="00D049A9">
              <w:rPr>
                <w:rFonts w:ascii="Bookman Old Style" w:hAnsi="Bookman Old Style" w:cs="Times New Roman"/>
                <w:b/>
                <w:color w:val="000000" w:themeColor="text1"/>
                <w:sz w:val="20"/>
                <w:szCs w:val="20"/>
              </w:rPr>
              <w:t>frequenta</w:t>
            </w:r>
            <w:proofErr w:type="spellEnd"/>
            <w:r w:rsidRPr="00D049A9">
              <w:rPr>
                <w:rFonts w:ascii="Bookman Old Style" w:hAnsi="Bookman Old Style" w:cs="Times New Roman"/>
                <w:b/>
                <w:color w:val="000000" w:themeColor="text1"/>
                <w:sz w:val="20"/>
                <w:szCs w:val="20"/>
              </w:rPr>
              <w:t xml:space="preserve"> a escola/creche.</w:t>
            </w:r>
          </w:p>
        </w:tc>
      </w:tr>
      <w:tr w:rsidR="00D049A9" w:rsidRPr="00D049A9" w:rsidTr="007A7F04">
        <w:tblPrEx>
          <w:tblCellMar>
            <w:left w:w="108" w:type="dxa"/>
            <w:right w:w="108" w:type="dxa"/>
          </w:tblCellMar>
          <w:tblLook w:val="04A0"/>
        </w:tblPrEx>
        <w:trPr>
          <w:gridBefore w:val="1"/>
          <w:wBefore w:w="1456" w:type="dxa"/>
          <w:trHeight w:val="325"/>
        </w:trPr>
        <w:tc>
          <w:tcPr>
            <w:tcW w:w="1330" w:type="dxa"/>
            <w:vAlign w:val="center"/>
          </w:tcPr>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049A9" w:rsidRPr="00D049A9" w:rsidRDefault="00D049A9" w:rsidP="007A7F04">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049A9" w:rsidRPr="00D049A9" w:rsidTr="007A7F04">
        <w:trPr>
          <w:trHeight w:val="284"/>
        </w:trPr>
        <w:tc>
          <w:tcPr>
            <w:tcW w:w="1456" w:type="dxa"/>
            <w:vMerge w:val="restart"/>
            <w:tcBorders>
              <w:top w:val="nil"/>
              <w:left w:val="nil"/>
              <w:bottom w:val="nil"/>
            </w:tcBorders>
            <w:shd w:val="clear" w:color="auto" w:fill="auto"/>
            <w:vAlign w:val="center"/>
          </w:tcPr>
          <w:p w:rsidR="00D049A9" w:rsidRPr="00D049A9" w:rsidRDefault="00D049A9" w:rsidP="007A7F04">
            <w:pPr>
              <w:jc w:val="center"/>
              <w:rPr>
                <w:rFonts w:ascii="Bookman Old Style" w:hAnsi="Bookman Old Style" w:cs="Times New Roman"/>
                <w:color w:val="000000" w:themeColor="text1"/>
                <w:sz w:val="20"/>
                <w:szCs w:val="20"/>
              </w:rPr>
            </w:pPr>
          </w:p>
        </w:tc>
        <w:tc>
          <w:tcPr>
            <w:tcW w:w="1330" w:type="dxa"/>
            <w:vMerge w:val="restart"/>
            <w:vAlign w:val="center"/>
          </w:tcPr>
          <w:p w:rsidR="00D049A9" w:rsidRPr="00D049A9" w:rsidRDefault="00D049A9" w:rsidP="007A7F04">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50%</w:t>
            </w:r>
          </w:p>
        </w:tc>
        <w:tc>
          <w:tcPr>
            <w:tcW w:w="1292" w:type="dxa"/>
            <w:vAlign w:val="center"/>
          </w:tcPr>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049A9" w:rsidRPr="00D049A9" w:rsidRDefault="00D049A9" w:rsidP="007A7F04">
            <w:pPr>
              <w:jc w:val="center"/>
              <w:rPr>
                <w:rFonts w:ascii="Bookman Old Style" w:hAnsi="Bookman Old Style" w:cs="Times New Roman"/>
                <w:b/>
                <w:color w:val="000000" w:themeColor="text1"/>
                <w:sz w:val="20"/>
                <w:szCs w:val="20"/>
              </w:rPr>
            </w:pPr>
            <w:r w:rsidRPr="00D049A9">
              <w:rPr>
                <w:rFonts w:ascii="Bookman Old Style" w:hAnsi="Bookman Old Style" w:cs="Times New Roman"/>
                <w:b/>
                <w:color w:val="000000" w:themeColor="text1"/>
                <w:sz w:val="20"/>
                <w:szCs w:val="20"/>
              </w:rPr>
              <w:t>11,80%</w:t>
            </w:r>
          </w:p>
        </w:tc>
        <w:tc>
          <w:tcPr>
            <w:tcW w:w="4649" w:type="dxa"/>
            <w:vAlign w:val="center"/>
          </w:tcPr>
          <w:p w:rsidR="00D049A9" w:rsidRPr="00D049A9" w:rsidRDefault="00D049A9" w:rsidP="007A7F04">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http://simec.mec.gov.br/pde/graficopne.</w:t>
            </w:r>
            <w:proofErr w:type="gramEnd"/>
            <w:r w:rsidRPr="00D049A9">
              <w:rPr>
                <w:rFonts w:ascii="Bookman Old Style" w:hAnsi="Bookman Old Style" w:cs="Times New Roman"/>
                <w:color w:val="000000" w:themeColor="text1"/>
                <w:sz w:val="20"/>
                <w:szCs w:val="20"/>
              </w:rPr>
              <w:t xml:space="preserve">php, acesso em dezembro de 2016. Relatório Linha </w:t>
            </w:r>
            <w:r w:rsidRPr="00D049A9">
              <w:rPr>
                <w:rFonts w:ascii="Bookman Old Style" w:hAnsi="Bookman Old Style" w:cs="Times New Roman"/>
                <w:color w:val="000000" w:themeColor="text1"/>
                <w:sz w:val="20"/>
                <w:szCs w:val="20"/>
              </w:rPr>
              <w:lastRenderedPageBreak/>
              <w:t>de Base do INEP 2014.</w:t>
            </w:r>
          </w:p>
        </w:tc>
      </w:tr>
      <w:tr w:rsidR="00D049A9" w:rsidRPr="00D049A9" w:rsidTr="007A7F04">
        <w:trPr>
          <w:trHeight w:val="284"/>
        </w:trPr>
        <w:tc>
          <w:tcPr>
            <w:tcW w:w="1456" w:type="dxa"/>
            <w:vMerge/>
            <w:tcBorders>
              <w:left w:val="nil"/>
              <w:bottom w:val="nil"/>
            </w:tcBorders>
            <w:shd w:val="clear" w:color="auto" w:fill="auto"/>
            <w:vAlign w:val="center"/>
          </w:tcPr>
          <w:p w:rsidR="00D049A9" w:rsidRPr="00D049A9" w:rsidRDefault="00D049A9" w:rsidP="007A7F04">
            <w:pPr>
              <w:jc w:val="center"/>
              <w:rPr>
                <w:rFonts w:ascii="Bookman Old Style" w:hAnsi="Bookman Old Style" w:cs="Times New Roman"/>
                <w:color w:val="000000" w:themeColor="text1"/>
                <w:sz w:val="20"/>
                <w:szCs w:val="20"/>
              </w:rPr>
            </w:pPr>
          </w:p>
        </w:tc>
        <w:tc>
          <w:tcPr>
            <w:tcW w:w="1330" w:type="dxa"/>
            <w:vMerge/>
            <w:vAlign w:val="center"/>
          </w:tcPr>
          <w:p w:rsidR="00D049A9" w:rsidRPr="00D049A9" w:rsidRDefault="00D049A9" w:rsidP="007A7F04">
            <w:pPr>
              <w:jc w:val="center"/>
              <w:rPr>
                <w:rFonts w:ascii="Bookman Old Style" w:hAnsi="Bookman Old Style" w:cs="Times New Roman"/>
                <w:b/>
                <w:color w:val="000000" w:themeColor="text1"/>
                <w:sz w:val="20"/>
                <w:szCs w:val="20"/>
              </w:rPr>
            </w:pPr>
          </w:p>
        </w:tc>
        <w:tc>
          <w:tcPr>
            <w:tcW w:w="1292" w:type="dxa"/>
            <w:vAlign w:val="center"/>
          </w:tcPr>
          <w:p w:rsidR="00D049A9" w:rsidRPr="00D049A9" w:rsidRDefault="00D049A9" w:rsidP="007A7F04">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DADO MUNICÍPAL</w:t>
            </w:r>
          </w:p>
          <w:p w:rsidR="00D049A9" w:rsidRPr="00D049A9" w:rsidRDefault="00D049A9" w:rsidP="007A7F04">
            <w:pPr>
              <w:jc w:val="center"/>
              <w:rPr>
                <w:rFonts w:ascii="Bookman Old Style" w:hAnsi="Bookman Old Style" w:cs="Times New Roman"/>
                <w:color w:val="000000" w:themeColor="text1"/>
                <w:sz w:val="20"/>
                <w:szCs w:val="20"/>
              </w:rPr>
            </w:pPr>
          </w:p>
        </w:tc>
        <w:tc>
          <w:tcPr>
            <w:tcW w:w="1699" w:type="dxa"/>
            <w:vAlign w:val="center"/>
          </w:tcPr>
          <w:p w:rsidR="00D049A9" w:rsidRPr="00D049A9" w:rsidRDefault="00D049A9" w:rsidP="007A7F04">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46</w:t>
            </w:r>
            <w:r w:rsidRPr="00D049A9">
              <w:rPr>
                <w:rFonts w:ascii="Bookman Old Style" w:hAnsi="Bookman Old Style" w:cs="Times New Roman"/>
                <w:b/>
                <w:color w:val="000000" w:themeColor="text1"/>
                <w:sz w:val="20"/>
                <w:szCs w:val="20"/>
              </w:rPr>
              <w:t>,00%</w:t>
            </w:r>
          </w:p>
        </w:tc>
        <w:tc>
          <w:tcPr>
            <w:tcW w:w="4649" w:type="dxa"/>
            <w:vAlign w:val="center"/>
          </w:tcPr>
          <w:p w:rsidR="00D049A9" w:rsidRPr="00D049A9" w:rsidRDefault="00D049A9" w:rsidP="007A7F04">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Secretaria Municipal de Educação, Censo Escolar de 2016.</w:t>
            </w:r>
          </w:p>
        </w:tc>
      </w:tr>
    </w:tbl>
    <w:p w:rsidR="00D049A9" w:rsidRDefault="00D049A9" w:rsidP="00D049A9">
      <w:pPr>
        <w:pStyle w:val="PargrafodaLista"/>
        <w:ind w:left="0"/>
        <w:jc w:val="both"/>
        <w:rPr>
          <w:rFonts w:ascii="Bookman Old Style" w:hAnsi="Bookman Old Style" w:cs="Times New Roman"/>
          <w:color w:val="000000" w:themeColor="text1"/>
          <w:sz w:val="24"/>
          <w:szCs w:val="24"/>
        </w:rPr>
      </w:pPr>
    </w:p>
    <w:p w:rsidR="002D3342" w:rsidRPr="002D3342" w:rsidRDefault="002D3342" w:rsidP="002D3342">
      <w:pPr>
        <w:jc w:val="both"/>
        <w:rPr>
          <w:rFonts w:ascii="Bookman Old Style" w:hAnsi="Bookman Old Style" w:cs="Times New Roman"/>
          <w:b/>
          <w:color w:val="000000" w:themeColor="text1"/>
          <w:sz w:val="24"/>
          <w:szCs w:val="24"/>
        </w:rPr>
      </w:pPr>
      <w:r w:rsidRPr="002D3342">
        <w:rPr>
          <w:rFonts w:ascii="Bookman Old Style" w:hAnsi="Bookman Old Style" w:cs="Times New Roman"/>
          <w:b/>
          <w:color w:val="000000" w:themeColor="text1"/>
          <w:sz w:val="24"/>
          <w:szCs w:val="24"/>
        </w:rPr>
        <w:t>Contextualização da Meta:</w:t>
      </w:r>
    </w:p>
    <w:p w:rsidR="002D3342" w:rsidRPr="002D3342" w:rsidRDefault="002D3342" w:rsidP="002D3342">
      <w:pPr>
        <w:pStyle w:val="PargrafodaLista"/>
        <w:ind w:left="0" w:firstLine="567"/>
        <w:jc w:val="both"/>
        <w:rPr>
          <w:rFonts w:ascii="Bookman Old Style" w:hAnsi="Bookman Old Style" w:cs="Times New Roman"/>
          <w:color w:val="000000" w:themeColor="text1"/>
          <w:sz w:val="24"/>
          <w:szCs w:val="24"/>
        </w:rPr>
      </w:pPr>
      <w:r w:rsidRPr="002D3342">
        <w:rPr>
          <w:rFonts w:ascii="Bookman Old Style" w:hAnsi="Bookman Old Style" w:cs="Times New Roman"/>
          <w:color w:val="000000" w:themeColor="text1"/>
          <w:sz w:val="24"/>
          <w:szCs w:val="24"/>
        </w:rPr>
        <w:t xml:space="preserve">A Meta 01 do Plano Municipal de Educação trata intimamente de universalização até o ano de 2016 da educação infantil na pré-escola para as crianças de quatro (04) e cinco (05) anos, bem como a ampliação do atendimento em creches de minimamente </w:t>
      </w:r>
      <w:proofErr w:type="spellStart"/>
      <w:r w:rsidRPr="002D3342">
        <w:rPr>
          <w:rFonts w:ascii="Bookman Old Style" w:hAnsi="Bookman Old Style" w:cs="Times New Roman"/>
          <w:color w:val="000000" w:themeColor="text1"/>
          <w:sz w:val="24"/>
          <w:szCs w:val="24"/>
        </w:rPr>
        <w:t>cinquenta</w:t>
      </w:r>
      <w:proofErr w:type="spellEnd"/>
      <w:r w:rsidRPr="002D3342">
        <w:rPr>
          <w:rFonts w:ascii="Bookman Old Style" w:hAnsi="Bookman Old Style" w:cs="Times New Roman"/>
          <w:color w:val="000000" w:themeColor="text1"/>
          <w:sz w:val="24"/>
          <w:szCs w:val="24"/>
        </w:rPr>
        <w:t xml:space="preserve"> (50%) das crianças de até três (03) anos até o final da vigência do Pano Nacional. Para o Município de Paulo Bento é sumariamente relevante o teor desta meta, tendo em vista que a Educação Infantil é a porta de entrada para a socialização e inclusão das crianças na Sociedade contemporânea, o primeiro contato com o conhecimento formal. O atendimento da Educação Infantil é obrigatório para as idades de quatro (04) e cinco (05) anos, conforme a Lei das Diretrizes Básica da Educação e Constituição Federal, no que tange a área educacional.</w:t>
      </w:r>
    </w:p>
    <w:p w:rsidR="002D3342" w:rsidRDefault="002D3342" w:rsidP="002D3342">
      <w:pPr>
        <w:pStyle w:val="PargrafodaLista"/>
        <w:ind w:left="0" w:firstLine="567"/>
        <w:jc w:val="both"/>
        <w:rPr>
          <w:rFonts w:ascii="Bookman Old Style" w:hAnsi="Bookman Old Style" w:cs="Times New Roman"/>
          <w:color w:val="000000" w:themeColor="text1"/>
          <w:sz w:val="24"/>
          <w:szCs w:val="24"/>
        </w:rPr>
      </w:pPr>
      <w:r w:rsidRPr="002D3342">
        <w:rPr>
          <w:rFonts w:ascii="Bookman Old Style" w:hAnsi="Bookman Old Style" w:cs="Times New Roman"/>
          <w:color w:val="000000" w:themeColor="text1"/>
          <w:sz w:val="24"/>
          <w:szCs w:val="24"/>
        </w:rPr>
        <w:t xml:space="preserve">As estratégias adotadas no monitoramento para corroborarem o alcance da meta, isto porque abarcam uma pluralidade de objetivos a serem cumpridos e que culminarão com </w:t>
      </w:r>
      <w:proofErr w:type="gramStart"/>
      <w:r w:rsidRPr="002D3342">
        <w:rPr>
          <w:rFonts w:ascii="Bookman Old Style" w:hAnsi="Bookman Old Style" w:cs="Times New Roman"/>
          <w:color w:val="000000" w:themeColor="text1"/>
          <w:sz w:val="24"/>
          <w:szCs w:val="24"/>
        </w:rPr>
        <w:t>o objetivação e justificação final, estabelecendo os percentuais necessários na meta final</w:t>
      </w:r>
      <w:proofErr w:type="gramEnd"/>
      <w:r w:rsidRPr="002D3342">
        <w:rPr>
          <w:rFonts w:ascii="Bookman Old Style" w:hAnsi="Bookman Old Style" w:cs="Times New Roman"/>
          <w:color w:val="000000" w:themeColor="text1"/>
          <w:sz w:val="24"/>
          <w:szCs w:val="24"/>
        </w:rPr>
        <w:t>. As estratégias visam enfatizar aspectos de natureza financeira e de projetos e programas de reestruturação do ambiente físico, tanto como as questões pedagógicas inerentes à escola, com vistas a adequações no Plano Político Pedagógico, Regimento Escolar, práticas em sala de aula, formação dos docentes, projetos que permeiem pela inclusão social de todas as crianças. A realização de busca ativa de forma articulada entre as Secretaria de Educação, Saúde e Assistência Social, visando identificar claramente os números totalizadores de crianças na faixa etária de zero (0) a cinco (05) anos, e de posse destas informações possa-se traçar as estratégias e planejamentos necessários para o atendimento pleno da meta e bem como mantermos e ampliar o atendimento para as crianças desta faixa etária. Além de monitorar e avaliar permanentemente a permanência das crianças freqüentando regularmente o educandário, bem como possibilitar a implantação do turno integral na Educação Infantil.</w:t>
      </w:r>
    </w:p>
    <w:p w:rsidR="00047456" w:rsidRDefault="00047456" w:rsidP="002D3342">
      <w:pPr>
        <w:pStyle w:val="PargrafodaLista"/>
        <w:ind w:left="0" w:firstLine="567"/>
        <w:jc w:val="both"/>
        <w:rPr>
          <w:rFonts w:ascii="Bookman Old Style" w:hAnsi="Bookman Old Style" w:cs="Times New Roman"/>
          <w:color w:val="000000" w:themeColor="text1"/>
          <w:sz w:val="24"/>
          <w:szCs w:val="24"/>
        </w:rPr>
      </w:pPr>
    </w:p>
    <w:p w:rsidR="002D3342" w:rsidRPr="002D3342" w:rsidRDefault="002D3342" w:rsidP="002D3342">
      <w:pPr>
        <w:jc w:val="both"/>
        <w:rPr>
          <w:rFonts w:ascii="Bookman Old Style" w:hAnsi="Bookman Old Style" w:cs="Times New Roman"/>
          <w:b/>
          <w:color w:val="000000" w:themeColor="text1"/>
          <w:sz w:val="24"/>
          <w:szCs w:val="24"/>
        </w:rPr>
      </w:pPr>
      <w:r w:rsidRPr="002D3342">
        <w:rPr>
          <w:rFonts w:ascii="Bookman Old Style" w:hAnsi="Bookman Old Style" w:cs="Times New Roman"/>
          <w:b/>
          <w:color w:val="000000" w:themeColor="text1"/>
          <w:sz w:val="24"/>
          <w:szCs w:val="24"/>
        </w:rPr>
        <w:lastRenderedPageBreak/>
        <w:t>Sistematização e Análise dos Dados:</w:t>
      </w:r>
    </w:p>
    <w:p w:rsidR="002D3342" w:rsidRPr="002D3342" w:rsidRDefault="002D3342" w:rsidP="002D3342">
      <w:pPr>
        <w:ind w:firstLine="567"/>
        <w:jc w:val="both"/>
        <w:rPr>
          <w:rFonts w:ascii="Bookman Old Style" w:hAnsi="Bookman Old Style" w:cs="Times New Roman"/>
          <w:color w:val="000000" w:themeColor="text1"/>
          <w:sz w:val="24"/>
          <w:szCs w:val="24"/>
        </w:rPr>
      </w:pPr>
      <w:r w:rsidRPr="002D3342">
        <w:rPr>
          <w:rFonts w:ascii="Bookman Old Style" w:hAnsi="Bookman Old Style" w:cs="Times New Roman"/>
          <w:color w:val="000000" w:themeColor="text1"/>
          <w:sz w:val="24"/>
          <w:szCs w:val="24"/>
        </w:rPr>
        <w:t>Os dados obtidos e que serviram como instrumental desta meta do Plano; foram levantados junto ao Censo Escolar do ano de 2016. Confrontados com a população total residente no Município, conforme os dados do Sistema de Informação da Prefeitura Municipal (Unidade Básica de Saúde), juntamente com a busca ativa realizada em conjunto com as Secretaria de Educação, Assistência Social e Saúde, para corroborar os dados.</w:t>
      </w:r>
    </w:p>
    <w:p w:rsidR="0043681E" w:rsidRDefault="0043681E" w:rsidP="0043681E">
      <w:pPr>
        <w:jc w:val="center"/>
        <w:rPr>
          <w:rFonts w:ascii="Bookman Old Style" w:hAnsi="Bookman Old Style" w:cs="Times New Roman"/>
          <w:color w:val="000000" w:themeColor="text1"/>
          <w:sz w:val="24"/>
          <w:szCs w:val="24"/>
        </w:rPr>
      </w:pPr>
      <w:r w:rsidRPr="0043681E">
        <w:rPr>
          <w:rFonts w:ascii="Bookman Old Style" w:hAnsi="Bookman Old Style" w:cs="Times New Roman"/>
          <w:noProof/>
          <w:color w:val="000000" w:themeColor="text1"/>
          <w:sz w:val="24"/>
          <w:szCs w:val="24"/>
          <w:lang w:eastAsia="pt-BR"/>
        </w:rPr>
        <w:drawing>
          <wp:inline distT="0" distB="0" distL="0" distR="0">
            <wp:extent cx="4991100" cy="1971675"/>
            <wp:effectExtent l="19050" t="0" r="19050"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D3342" w:rsidRPr="002D3342" w:rsidRDefault="0043681E" w:rsidP="0043681E">
      <w:pPr>
        <w:jc w:val="center"/>
        <w:rPr>
          <w:rFonts w:ascii="Bookman Old Style" w:hAnsi="Bookman Old Style" w:cs="Times New Roman"/>
          <w:color w:val="000000" w:themeColor="text1"/>
          <w:sz w:val="24"/>
          <w:szCs w:val="24"/>
        </w:rPr>
      </w:pPr>
      <w:r w:rsidRPr="0043681E">
        <w:rPr>
          <w:rFonts w:ascii="Bookman Old Style" w:hAnsi="Bookman Old Style" w:cs="Times New Roman"/>
          <w:noProof/>
          <w:color w:val="000000" w:themeColor="text1"/>
          <w:sz w:val="24"/>
          <w:szCs w:val="24"/>
          <w:lang w:eastAsia="pt-BR"/>
        </w:rPr>
        <w:drawing>
          <wp:inline distT="0" distB="0" distL="0" distR="0">
            <wp:extent cx="5000625" cy="2286000"/>
            <wp:effectExtent l="19050" t="0" r="9525" b="0"/>
            <wp:docPr id="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D3342" w:rsidRPr="002D3342" w:rsidRDefault="002D3342" w:rsidP="002D3342">
      <w:pPr>
        <w:ind w:firstLine="567"/>
        <w:jc w:val="both"/>
        <w:rPr>
          <w:rFonts w:ascii="Bookman Old Style" w:hAnsi="Bookman Old Style" w:cs="Times New Roman"/>
          <w:color w:val="000000" w:themeColor="text1"/>
          <w:sz w:val="24"/>
          <w:szCs w:val="24"/>
        </w:rPr>
      </w:pPr>
      <w:r w:rsidRPr="002D3342">
        <w:rPr>
          <w:rFonts w:ascii="Bookman Old Style" w:hAnsi="Bookman Old Style" w:cs="Times New Roman"/>
          <w:color w:val="000000" w:themeColor="text1"/>
          <w:sz w:val="24"/>
          <w:szCs w:val="24"/>
        </w:rPr>
        <w:t>Podemos vislumbrar que os números ilustrados nos gráficos acima e pertinentes ao ano de 2016, tratam especificamente dos indicadores (</w:t>
      </w:r>
      <w:proofErr w:type="gramStart"/>
      <w:r w:rsidRPr="002D3342">
        <w:rPr>
          <w:rFonts w:ascii="Bookman Old Style" w:hAnsi="Bookman Old Style" w:cs="Times New Roman"/>
          <w:color w:val="000000" w:themeColor="text1"/>
          <w:sz w:val="24"/>
          <w:szCs w:val="24"/>
        </w:rPr>
        <w:t>1</w:t>
      </w:r>
      <w:proofErr w:type="gramEnd"/>
      <w:r w:rsidRPr="002D3342">
        <w:rPr>
          <w:rFonts w:ascii="Bookman Old Style" w:hAnsi="Bookman Old Style" w:cs="Times New Roman"/>
          <w:color w:val="000000" w:themeColor="text1"/>
          <w:sz w:val="24"/>
          <w:szCs w:val="24"/>
        </w:rPr>
        <w:t xml:space="preserve"> A e 1 B) da Meta 01, a meta e o resultado alcançado no período (ano de 2016) e para  o indicador 1 B considerando o exercício de 2017.</w:t>
      </w:r>
    </w:p>
    <w:p w:rsidR="00D049A9" w:rsidRDefault="002D3342" w:rsidP="002D3342">
      <w:pPr>
        <w:ind w:firstLine="567"/>
        <w:jc w:val="both"/>
        <w:rPr>
          <w:rFonts w:ascii="Bookman Old Style" w:hAnsi="Bookman Old Style" w:cs="Times New Roman"/>
          <w:color w:val="000000" w:themeColor="text1"/>
          <w:sz w:val="24"/>
          <w:szCs w:val="24"/>
        </w:rPr>
      </w:pPr>
      <w:r w:rsidRPr="002D3342">
        <w:rPr>
          <w:rFonts w:ascii="Bookman Old Style" w:hAnsi="Bookman Old Style" w:cs="Times New Roman"/>
          <w:color w:val="000000" w:themeColor="text1"/>
          <w:sz w:val="24"/>
          <w:szCs w:val="24"/>
        </w:rPr>
        <w:lastRenderedPageBreak/>
        <w:t xml:space="preserve"> A evolução dos indicadores quando da elaboração do diagnóstico e da aprovação do Plano Municipal de Educação foi no sentido da ampliação da oferta de vagas na Educação Infantil. Especificamente se tratando do indicador 1B no ano de 2016, alcançou-se 46% dos 50% como meta traçada, no ano de 2017 o resultado alcançado foi de 50%, atendendo ao pactuado.</w:t>
      </w:r>
    </w:p>
    <w:p w:rsidR="002D3342" w:rsidRPr="00D049A9" w:rsidRDefault="002D3342" w:rsidP="002D3342">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Entretanto é pertinente </w:t>
      </w:r>
      <w:r w:rsidR="0043681E">
        <w:rPr>
          <w:rFonts w:ascii="Bookman Old Style" w:hAnsi="Bookman Old Style" w:cs="Times New Roman"/>
          <w:color w:val="000000" w:themeColor="text1"/>
          <w:sz w:val="24"/>
          <w:szCs w:val="24"/>
        </w:rPr>
        <w:t xml:space="preserve">colocarmos que os dados oficiais provenientes </w:t>
      </w:r>
      <w:proofErr w:type="gramStart"/>
      <w:r w:rsidR="0043681E">
        <w:rPr>
          <w:rFonts w:ascii="Bookman Old Style" w:hAnsi="Bookman Old Style" w:cs="Times New Roman"/>
          <w:color w:val="000000" w:themeColor="text1"/>
          <w:sz w:val="24"/>
          <w:szCs w:val="24"/>
        </w:rPr>
        <w:t>do web</w:t>
      </w:r>
      <w:proofErr w:type="gramEnd"/>
      <w:r w:rsidR="0043681E">
        <w:rPr>
          <w:rFonts w:ascii="Bookman Old Style" w:hAnsi="Bookman Old Style" w:cs="Times New Roman"/>
          <w:color w:val="000000" w:themeColor="text1"/>
          <w:sz w:val="24"/>
          <w:szCs w:val="24"/>
        </w:rPr>
        <w:t xml:space="preserve"> site do PNE em Movimento, encontram-se defasados, uma vez que compreendem e levam em conta o ano base de 2014. Desta forma foi realizado o levantamento dos dados junto a Secretaria de Educação do Município, bem como o Censo Escolar de 2016.</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7A7F04" w:rsidRPr="00540B0B" w:rsidTr="007A7F04">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540B0B" w:rsidRDefault="00540B0B" w:rsidP="007A7F04">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7A7F04" w:rsidRPr="00540B0B" w:rsidRDefault="007A7F04" w:rsidP="007A7F0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7A7F04" w:rsidRPr="00540B0B" w:rsidTr="007A7F04">
        <w:trPr>
          <w:trHeight w:val="1505"/>
        </w:trPr>
        <w:tc>
          <w:tcPr>
            <w:tcW w:w="58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1.1</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lang w:eastAsia="pt-BR"/>
              </w:rPr>
            </w:pPr>
            <w:r w:rsidRPr="00540B0B">
              <w:rPr>
                <w:rFonts w:ascii="Calibri" w:eastAsia="Times New Roman" w:hAnsi="Calibri" w:cs="Calibri"/>
                <w:lang w:eastAsia="pt-BR"/>
              </w:rPr>
              <w:t>Definir, em regime de colaboração entre a União, o Estado e o Município, metas de atendimento, considerando as peculiaridades locais, que atendam um padrão de qualidade que respeite todas as necessidades de espaço.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7A7F04"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7A7F04" w:rsidRPr="00540B0B" w:rsidTr="007A7F04">
        <w:trPr>
          <w:trHeight w:val="2101"/>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Articular formas para garantir assistência técnica e financeira da união na construção, ampliação e manutenção da escola de educação infantil pública, respeitando as deliberações da comunidade escolar e assegurando a fiscalização e a demanda de atendimento na educação infantil.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7A7F04"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7A7F04" w:rsidRPr="00540B0B" w:rsidTr="007A7F04">
        <w:trPr>
          <w:trHeight w:val="1788"/>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Participar do programa nacional de reestruturação, ampliação e aquisição de equipamentos para a escola de educação infantil mantida pelo poder público, voltado à expansão e à conservação da rede física de creches e pré-escolas.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Plano Plurianual: 2014/2017 - Lei Orçamentária Anual: </w:t>
            </w:r>
            <w:proofErr w:type="gramStart"/>
            <w:r w:rsidRPr="00540B0B">
              <w:rPr>
                <w:rFonts w:ascii="Calibri" w:eastAsia="Times New Roman" w:hAnsi="Calibri" w:cs="Calibri"/>
                <w:color w:val="000000"/>
                <w:lang w:eastAsia="pt-BR"/>
              </w:rPr>
              <w:t>2017, Lei</w:t>
            </w:r>
            <w:proofErr w:type="gramEnd"/>
            <w:r w:rsidRPr="00540B0B">
              <w:rPr>
                <w:rFonts w:ascii="Calibri" w:eastAsia="Times New Roman" w:hAnsi="Calibri" w:cs="Calibri"/>
                <w:color w:val="000000"/>
                <w:lang w:eastAsia="pt-BR"/>
              </w:rPr>
              <w:t xml:space="preserve"> das Diretrizes Orçamentárias: 2017 e Plano de Ações Articuladas - PAR</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7A7F04"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7A7F04" w:rsidRPr="00540B0B" w:rsidTr="00357B82">
        <w:trPr>
          <w:trHeight w:val="602"/>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lastRenderedPageBreak/>
              <w:t>1.4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Realizar periodicamente, em regime de colaboração com as demais secretarias da assistência social e saúde, levantamento da demanda por creche para a população de até </w:t>
            </w:r>
            <w:proofErr w:type="gramStart"/>
            <w:r w:rsidRPr="00540B0B">
              <w:rPr>
                <w:rFonts w:ascii="Calibri" w:eastAsia="Times New Roman" w:hAnsi="Calibri" w:cs="Calibri"/>
                <w:color w:val="000000"/>
                <w:lang w:eastAsia="pt-BR"/>
              </w:rPr>
              <w:t>3</w:t>
            </w:r>
            <w:proofErr w:type="gramEnd"/>
            <w:r w:rsidRPr="00540B0B">
              <w:rPr>
                <w:rFonts w:ascii="Calibri" w:eastAsia="Times New Roman" w:hAnsi="Calibri" w:cs="Calibri"/>
                <w:color w:val="000000"/>
                <w:lang w:eastAsia="pt-BR"/>
              </w:rPr>
              <w:t xml:space="preserve"> (três) anos de idade, como forma de planejar a oferta e verificar o atendimento da demanda manifesta pelas famílias.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proofErr w:type="gramStart"/>
            <w:r w:rsidRPr="00540B0B">
              <w:rPr>
                <w:rFonts w:ascii="Calibri" w:eastAsia="Times New Roman" w:hAnsi="Calibri" w:cs="Calibri"/>
                <w:color w:val="000000"/>
                <w:lang w:eastAsia="pt-BR"/>
              </w:rPr>
              <w:t>Anual ,</w:t>
            </w:r>
            <w:proofErr w:type="gramEnd"/>
            <w:r w:rsidRPr="00540B0B">
              <w:rPr>
                <w:rFonts w:ascii="Calibri" w:eastAsia="Times New Roman" w:hAnsi="Calibri" w:cs="Calibri"/>
                <w:color w:val="000000"/>
                <w:lang w:eastAsia="pt-BR"/>
              </w:rPr>
              <w:t xml:space="preserve"> 100% a partir de 2017</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Etapa pertinente a organização da Secretaria, bem como da sua capacidade de articular-se na interdisciplinaridade.  Não de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anualmente</w:t>
            </w:r>
          </w:p>
        </w:tc>
      </w:tr>
      <w:tr w:rsidR="007A7F04" w:rsidRPr="00540B0B" w:rsidTr="007A7F04">
        <w:trPr>
          <w:trHeight w:val="2086"/>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Avaliar a educação infantil, observando a realidade do Município, com base em instrumentos nacionais, a fim de aferir a </w:t>
            </w:r>
            <w:proofErr w:type="spellStart"/>
            <w:r w:rsidRPr="00540B0B">
              <w:rPr>
                <w:rFonts w:ascii="Calibri" w:eastAsia="Times New Roman" w:hAnsi="Calibri" w:cs="Calibri"/>
                <w:color w:val="000000"/>
                <w:lang w:eastAsia="pt-BR"/>
              </w:rPr>
              <w:t>infraestrutura</w:t>
            </w:r>
            <w:proofErr w:type="spellEnd"/>
            <w:r w:rsidRPr="00540B0B">
              <w:rPr>
                <w:rFonts w:ascii="Calibri" w:eastAsia="Times New Roman" w:hAnsi="Calibri" w:cs="Calibri"/>
                <w:color w:val="000000"/>
                <w:lang w:eastAsia="pt-BR"/>
              </w:rPr>
              <w:t xml:space="preserve"> física, a formação e quadro dos profissionais, os recursos pedagógicos e de acessibilidade aplicados nas etapas da creche e da pré-escola.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proofErr w:type="gramStart"/>
            <w:r w:rsidRPr="00540B0B">
              <w:rPr>
                <w:rFonts w:ascii="Calibri" w:eastAsia="Times New Roman" w:hAnsi="Calibri" w:cs="Calibri"/>
                <w:color w:val="000000"/>
                <w:lang w:eastAsia="pt-BR"/>
              </w:rPr>
              <w:t>Anual ,</w:t>
            </w:r>
            <w:proofErr w:type="gramEnd"/>
            <w:r w:rsidRPr="00540B0B">
              <w:rPr>
                <w:rFonts w:ascii="Calibri" w:eastAsia="Times New Roman" w:hAnsi="Calibri" w:cs="Calibri"/>
                <w:color w:val="000000"/>
                <w:lang w:eastAsia="pt-BR"/>
              </w:rPr>
              <w:t xml:space="preserve"> 100% a partir de 2017</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Realizada/Em andamento</w:t>
            </w:r>
          </w:p>
        </w:tc>
      </w:tr>
      <w:tr w:rsidR="007A7F04" w:rsidRPr="00540B0B" w:rsidTr="007A7F04">
        <w:trPr>
          <w:trHeight w:val="1490"/>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Estimular a articulação entre programas de graduação, pós-graduação </w:t>
            </w:r>
            <w:proofErr w:type="spellStart"/>
            <w:r w:rsidRPr="00540B0B">
              <w:rPr>
                <w:rFonts w:ascii="Calibri" w:eastAsia="Times New Roman" w:hAnsi="Calibri" w:cs="Calibri"/>
                <w:color w:val="000000"/>
                <w:lang w:eastAsia="pt-BR"/>
              </w:rPr>
              <w:t>stricto</w:t>
            </w:r>
            <w:proofErr w:type="spellEnd"/>
            <w:r w:rsidRPr="00540B0B">
              <w:rPr>
                <w:rFonts w:ascii="Calibri" w:eastAsia="Times New Roman" w:hAnsi="Calibri" w:cs="Calibri"/>
                <w:color w:val="000000"/>
                <w:lang w:eastAsia="pt-BR"/>
              </w:rPr>
              <w:t xml:space="preserve"> </w:t>
            </w:r>
            <w:proofErr w:type="spellStart"/>
            <w:r w:rsidRPr="00540B0B">
              <w:rPr>
                <w:rFonts w:ascii="Calibri" w:eastAsia="Times New Roman" w:hAnsi="Calibri" w:cs="Calibri"/>
                <w:color w:val="000000"/>
                <w:lang w:eastAsia="pt-BR"/>
              </w:rPr>
              <w:t>sensu</w:t>
            </w:r>
            <w:proofErr w:type="spellEnd"/>
            <w:r w:rsidRPr="00540B0B">
              <w:rPr>
                <w:rFonts w:ascii="Calibri" w:eastAsia="Times New Roman" w:hAnsi="Calibri" w:cs="Calibri"/>
                <w:color w:val="000000"/>
                <w:lang w:eastAsia="pt-BR"/>
              </w:rPr>
              <w:t xml:space="preserve"> e cursos de formação de professores para a educação infantil, de modo a ofertar uma educação infantil de qualidade.</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proofErr w:type="gramStart"/>
            <w:r w:rsidRPr="00540B0B">
              <w:rPr>
                <w:rFonts w:ascii="Calibri" w:eastAsia="Times New Roman" w:hAnsi="Calibri" w:cs="Calibri"/>
                <w:color w:val="000000"/>
                <w:lang w:eastAsia="pt-BR"/>
              </w:rPr>
              <w:t>Anual ,</w:t>
            </w:r>
            <w:proofErr w:type="gramEnd"/>
            <w:r w:rsidRPr="00540B0B">
              <w:rPr>
                <w:rFonts w:ascii="Calibri" w:eastAsia="Times New Roman" w:hAnsi="Calibri" w:cs="Calibri"/>
                <w:color w:val="000000"/>
                <w:lang w:eastAsia="pt-BR"/>
              </w:rPr>
              <w:t xml:space="preserve"> 100% a partir de 2017</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Mobilização dos </w:t>
            </w:r>
            <w:proofErr w:type="gramStart"/>
            <w:r w:rsidRPr="00540B0B">
              <w:rPr>
                <w:rFonts w:ascii="Calibri" w:eastAsia="Times New Roman" w:hAnsi="Calibri" w:cs="Calibri"/>
                <w:color w:val="000000"/>
                <w:lang w:eastAsia="pt-BR"/>
              </w:rPr>
              <w:t>docentes e incentivo</w:t>
            </w:r>
            <w:proofErr w:type="gramEnd"/>
            <w:r w:rsidRPr="00540B0B">
              <w:rPr>
                <w:rFonts w:ascii="Calibri" w:eastAsia="Times New Roman" w:hAnsi="Calibri" w:cs="Calibri"/>
                <w:color w:val="000000"/>
                <w:lang w:eastAsia="pt-BR"/>
              </w:rPr>
              <w:t xml:space="preserve"> aos mesmos no tangente a formação qualificada e contínua. Não se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Realizada/Em andamento</w:t>
            </w:r>
          </w:p>
        </w:tc>
      </w:tr>
      <w:tr w:rsidR="007A7F04" w:rsidRPr="00540B0B" w:rsidTr="007A7F04">
        <w:trPr>
          <w:trHeight w:val="1803"/>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Elaborar e efetivar planejamentos em consonância com a proposta pedagógica que defende os princípios de inclusão, democratização e parceria entre a família e a escola, percebendo </w:t>
            </w:r>
            <w:proofErr w:type="gramStart"/>
            <w:r w:rsidRPr="00540B0B">
              <w:rPr>
                <w:rFonts w:ascii="Calibri" w:eastAsia="Times New Roman" w:hAnsi="Calibri" w:cs="Calibri"/>
                <w:color w:val="000000"/>
                <w:lang w:eastAsia="pt-BR"/>
              </w:rPr>
              <w:t>a criança como sujeito de direitos</w:t>
            </w:r>
            <w:proofErr w:type="gramEnd"/>
            <w:r w:rsidRPr="00540B0B">
              <w:rPr>
                <w:rFonts w:ascii="Calibri" w:eastAsia="Times New Roman" w:hAnsi="Calibri" w:cs="Calibri"/>
                <w:color w:val="000000"/>
                <w:lang w:eastAsia="pt-BR"/>
              </w:rPr>
              <w:t>.</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proofErr w:type="gramStart"/>
            <w:r w:rsidRPr="00540B0B">
              <w:rPr>
                <w:rFonts w:ascii="Calibri" w:eastAsia="Times New Roman" w:hAnsi="Calibri" w:cs="Calibri"/>
                <w:color w:val="000000"/>
                <w:lang w:eastAsia="pt-BR"/>
              </w:rPr>
              <w:t>Anual ,</w:t>
            </w:r>
            <w:proofErr w:type="gramEnd"/>
            <w:r w:rsidRPr="00540B0B">
              <w:rPr>
                <w:rFonts w:ascii="Calibri" w:eastAsia="Times New Roman" w:hAnsi="Calibri" w:cs="Calibri"/>
                <w:color w:val="000000"/>
                <w:lang w:eastAsia="pt-BR"/>
              </w:rPr>
              <w:t xml:space="preserve"> 100% a partir de 2017</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se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7A7F04" w:rsidRPr="00540B0B" w:rsidTr="007A7F04">
        <w:trPr>
          <w:trHeight w:val="2697"/>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Garantir em regime de colaboração com a união, conforme determina a legislação vigente, condições para o atendimento das turmas de educação infantil, de </w:t>
            </w:r>
            <w:proofErr w:type="spellStart"/>
            <w:r w:rsidRPr="00540B0B">
              <w:rPr>
                <w:rFonts w:ascii="Calibri" w:eastAsia="Times New Roman" w:hAnsi="Calibri" w:cs="Calibri"/>
                <w:color w:val="000000"/>
                <w:lang w:eastAsia="pt-BR"/>
              </w:rPr>
              <w:t>infraestrutura</w:t>
            </w:r>
            <w:proofErr w:type="spellEnd"/>
            <w:r w:rsidRPr="00540B0B">
              <w:rPr>
                <w:rFonts w:ascii="Calibri" w:eastAsia="Times New Roman" w:hAnsi="Calibri" w:cs="Calibri"/>
                <w:color w:val="000000"/>
                <w:lang w:eastAsia="pt-BR"/>
              </w:rPr>
              <w:t xml:space="preserve">, equipamentos adequados e de assessoria preventiva, por meio de profissionais ou equipes multiprofissionais, ampliando progressivamente o número de profissionais, a fim de atender com </w:t>
            </w:r>
            <w:r w:rsidRPr="00540B0B">
              <w:rPr>
                <w:rFonts w:ascii="Calibri" w:eastAsia="Times New Roman" w:hAnsi="Calibri" w:cs="Calibri"/>
                <w:color w:val="000000"/>
                <w:lang w:eastAsia="pt-BR"/>
              </w:rPr>
              <w:lastRenderedPageBreak/>
              <w:t>eficiência as crianças.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lastRenderedPageBreak/>
              <w:t>Anual,</w:t>
            </w:r>
            <w:proofErr w:type="gramStart"/>
            <w:r w:rsidRPr="00540B0B">
              <w:rPr>
                <w:rFonts w:ascii="Calibri" w:eastAsia="Times New Roman" w:hAnsi="Calibri" w:cs="Calibri"/>
                <w:color w:val="000000"/>
                <w:lang w:eastAsia="pt-BR"/>
              </w:rPr>
              <w:t xml:space="preserve">  </w:t>
            </w:r>
            <w:proofErr w:type="gramEnd"/>
            <w:r w:rsidRPr="00540B0B">
              <w:rPr>
                <w:rFonts w:ascii="Calibri" w:eastAsia="Times New Roman" w:hAnsi="Calibri" w:cs="Calibri"/>
                <w:color w:val="000000"/>
                <w:lang w:eastAsia="pt-BR"/>
              </w:rPr>
              <w:t>10% ano até 2024</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7A7F04" w:rsidRPr="00540B0B" w:rsidTr="007A7F04">
        <w:trPr>
          <w:trHeight w:val="1192"/>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lastRenderedPageBreak/>
              <w:t>1.9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Disponibilizar a escola de educação infantil </w:t>
            </w:r>
            <w:proofErr w:type="spellStart"/>
            <w:r w:rsidRPr="00540B0B">
              <w:rPr>
                <w:rFonts w:ascii="Calibri" w:eastAsia="Times New Roman" w:hAnsi="Calibri" w:cs="Calibri"/>
                <w:color w:val="000000"/>
                <w:lang w:eastAsia="pt-BR"/>
              </w:rPr>
              <w:t>infraestrutura</w:t>
            </w:r>
            <w:proofErr w:type="spellEnd"/>
            <w:r w:rsidRPr="00540B0B">
              <w:rPr>
                <w:rFonts w:ascii="Calibri" w:eastAsia="Times New Roman" w:hAnsi="Calibri" w:cs="Calibri"/>
                <w:color w:val="000000"/>
                <w:lang w:eastAsia="pt-BR"/>
              </w:rPr>
              <w:t xml:space="preserve"> adequada e equipamentos necessários para o desenvolvimento das ações pedagógicas e administrativas.</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single" w:sz="8" w:space="0" w:color="auto"/>
              <w:left w:val="single" w:sz="8" w:space="0" w:color="auto"/>
              <w:bottom w:val="nil"/>
              <w:right w:val="single" w:sz="8"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Plano Plurianual: 2014/2017 - Lei Orçamentária Anual: </w:t>
            </w:r>
            <w:proofErr w:type="gramStart"/>
            <w:r w:rsidRPr="00540B0B">
              <w:rPr>
                <w:rFonts w:ascii="Calibri" w:eastAsia="Times New Roman" w:hAnsi="Calibri" w:cs="Calibri"/>
                <w:color w:val="000000"/>
                <w:lang w:eastAsia="pt-BR"/>
              </w:rPr>
              <w:t>2017, Lei</w:t>
            </w:r>
            <w:proofErr w:type="gramEnd"/>
            <w:r w:rsidRPr="00540B0B">
              <w:rPr>
                <w:rFonts w:ascii="Calibri" w:eastAsia="Times New Roman" w:hAnsi="Calibri" w:cs="Calibri"/>
                <w:color w:val="000000"/>
                <w:lang w:eastAsia="pt-BR"/>
              </w:rPr>
              <w:t xml:space="preserve"> das Diretrizes Orçamentárias: 2017 e Plano de Ações Articuladas - PAR</w:t>
            </w:r>
          </w:p>
        </w:tc>
        <w:tc>
          <w:tcPr>
            <w:tcW w:w="226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realizada/Em andamento</w:t>
            </w:r>
          </w:p>
        </w:tc>
      </w:tr>
      <w:tr w:rsidR="007A7F04" w:rsidRPr="00540B0B" w:rsidTr="007A7F04">
        <w:trPr>
          <w:trHeight w:val="2086"/>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1.10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Realizar acompanhamento e o monitoramento do acesso e da permanência das crianças na educação infantil, em especial dos beneficiários de programas de transferência de renda, em colaboração com as famílias e com os órgãos públicos de assistência social, saúde e proteção à infância.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 100% até 2017</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se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7A7F04" w:rsidRPr="00540B0B" w:rsidTr="007A7F04">
        <w:trPr>
          <w:trHeight w:val="2086"/>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t>1.11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 Avaliar a possibilidade de contratação através de concurso público de auxiliares, com formação específica, para as instituições de educação infantil, quando se referir à possibilidade de exceder o número de crianças que o profissional da educação atende, conforme legislação vigente.</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 50% em 2017 e 50% em 2018, levando em conta a demanda</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se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7A7F04" w:rsidRPr="00540B0B" w:rsidTr="007A7F04">
        <w:trPr>
          <w:trHeight w:val="894"/>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1.12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Buscar, junto às instituições de ensino, cursos que contemplem de como trabalhar na prática com as crianças de 0 a </w:t>
            </w:r>
            <w:proofErr w:type="gramStart"/>
            <w:r w:rsidRPr="00540B0B">
              <w:rPr>
                <w:rFonts w:ascii="Calibri" w:eastAsia="Times New Roman" w:hAnsi="Calibri" w:cs="Calibri"/>
                <w:color w:val="000000"/>
                <w:lang w:eastAsia="pt-BR"/>
              </w:rPr>
              <w:t>5</w:t>
            </w:r>
            <w:proofErr w:type="gramEnd"/>
            <w:r w:rsidRPr="00540B0B">
              <w:rPr>
                <w:rFonts w:ascii="Calibri" w:eastAsia="Times New Roman" w:hAnsi="Calibri" w:cs="Calibri"/>
                <w:color w:val="000000"/>
                <w:lang w:eastAsia="pt-BR"/>
              </w:rPr>
              <w:t xml:space="preserve"> anos de idade.</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Lei Orçamentária Anual - 2017</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7A7F04" w:rsidRPr="00540B0B" w:rsidTr="007A7F04">
        <w:trPr>
          <w:trHeight w:val="2086"/>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lang w:eastAsia="pt-BR"/>
              </w:rPr>
            </w:pPr>
            <w:r w:rsidRPr="00540B0B">
              <w:rPr>
                <w:rFonts w:ascii="Calibri" w:eastAsia="Times New Roman" w:hAnsi="Calibri" w:cs="Calibri"/>
                <w:lang w:eastAsia="pt-BR"/>
              </w:rPr>
              <w:lastRenderedPageBreak/>
              <w:t>1.13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Viabilizar a inclusão de crianças com deficiência, transtornos globais do desenvolvimento e altas habilidades/</w:t>
            </w:r>
            <w:proofErr w:type="spellStart"/>
            <w:r w:rsidRPr="00540B0B">
              <w:rPr>
                <w:rFonts w:ascii="Calibri" w:eastAsia="Times New Roman" w:hAnsi="Calibri" w:cs="Calibri"/>
                <w:color w:val="000000"/>
                <w:lang w:eastAsia="pt-BR"/>
              </w:rPr>
              <w:t>superdotação</w:t>
            </w:r>
            <w:proofErr w:type="spellEnd"/>
            <w:r w:rsidRPr="00540B0B">
              <w:rPr>
                <w:rFonts w:ascii="Calibri" w:eastAsia="Times New Roman" w:hAnsi="Calibri" w:cs="Calibri"/>
                <w:color w:val="000000"/>
                <w:lang w:eastAsia="pt-BR"/>
              </w:rPr>
              <w:t xml:space="preserve"> em turmas regulares de educação infantil, com atendimento educacional especializado, orientação e formação continuada do professor referência.</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Contemplado</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7A7F04" w:rsidRPr="00540B0B" w:rsidTr="007A7F04">
        <w:trPr>
          <w:trHeight w:val="1803"/>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0B0B" w:rsidRPr="00540B0B" w:rsidRDefault="00540B0B" w:rsidP="00540B0B">
            <w:pPr>
              <w:spacing w:after="0" w:line="240" w:lineRule="auto"/>
              <w:jc w:val="center"/>
              <w:rPr>
                <w:rFonts w:ascii="Calibri" w:eastAsia="Times New Roman" w:hAnsi="Calibri" w:cs="Calibri"/>
                <w:color w:val="000000"/>
                <w:lang w:eastAsia="pt-BR"/>
              </w:rPr>
            </w:pPr>
            <w:r w:rsidRPr="00540B0B">
              <w:rPr>
                <w:rFonts w:ascii="Calibri" w:eastAsia="Times New Roman" w:hAnsi="Calibri" w:cs="Calibri"/>
                <w:color w:val="000000"/>
                <w:lang w:eastAsia="pt-BR"/>
              </w:rPr>
              <w:t>1.14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 xml:space="preserve">Ofertar e estimular em regime de colaboração com a união, o acesso a educação infantil em tempo integral para 50% das crianças de </w:t>
            </w:r>
            <w:proofErr w:type="gramStart"/>
            <w:r w:rsidRPr="00540B0B">
              <w:rPr>
                <w:rFonts w:ascii="Calibri" w:eastAsia="Times New Roman" w:hAnsi="Calibri" w:cs="Calibri"/>
                <w:color w:val="000000"/>
                <w:lang w:eastAsia="pt-BR"/>
              </w:rPr>
              <w:t>0</w:t>
            </w:r>
            <w:proofErr w:type="gramEnd"/>
            <w:r w:rsidRPr="00540B0B">
              <w:rPr>
                <w:rFonts w:ascii="Calibri" w:eastAsia="Times New Roman" w:hAnsi="Calibri" w:cs="Calibri"/>
                <w:color w:val="000000"/>
                <w:lang w:eastAsia="pt-BR"/>
              </w:rPr>
              <w:t xml:space="preserve"> (zero) a 5 (cinco) anos até o final da vigência do PME, conforme estabelecido nas Diretrizes Curriculares Nacionais para a Educação Infantil.</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Anual, de forma progressiva, 2018 30%, 2019 40% e 2020 10%.</w:t>
            </w:r>
          </w:p>
        </w:tc>
        <w:tc>
          <w:tcPr>
            <w:tcW w:w="1843" w:type="dxa"/>
            <w:tcBorders>
              <w:top w:val="nil"/>
              <w:left w:val="nil"/>
              <w:bottom w:val="single" w:sz="4" w:space="0" w:color="auto"/>
              <w:right w:val="single" w:sz="4" w:space="0" w:color="auto"/>
            </w:tcBorders>
            <w:shd w:val="clear" w:color="auto" w:fill="FFFFFF" w:themeFill="background1"/>
            <w:vAlign w:val="center"/>
            <w:hideMark/>
          </w:tcPr>
          <w:p w:rsidR="00540B0B" w:rsidRPr="00540B0B" w:rsidRDefault="00540B0B" w:rsidP="00540B0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Não de Aplica</w:t>
            </w:r>
          </w:p>
        </w:tc>
        <w:tc>
          <w:tcPr>
            <w:tcW w:w="2268" w:type="dxa"/>
            <w:tcBorders>
              <w:top w:val="nil"/>
              <w:left w:val="nil"/>
              <w:bottom w:val="single" w:sz="4" w:space="0" w:color="auto"/>
              <w:right w:val="single" w:sz="4" w:space="0" w:color="auto"/>
            </w:tcBorders>
            <w:shd w:val="clear" w:color="auto" w:fill="FFFFFF" w:themeFill="background1"/>
            <w:noWrap/>
            <w:vAlign w:val="center"/>
            <w:hideMark/>
          </w:tcPr>
          <w:p w:rsidR="00540B0B" w:rsidRPr="00540B0B" w:rsidRDefault="00357B82" w:rsidP="00540B0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bl>
    <w:p w:rsidR="00AF2347" w:rsidRDefault="00AF2347" w:rsidP="00540B0B">
      <w:pPr>
        <w:jc w:val="both"/>
        <w:rPr>
          <w:rFonts w:ascii="Bookman Old Style" w:hAnsi="Bookman Old Style" w:cs="Times New Roman"/>
          <w:b/>
          <w:color w:val="000000" w:themeColor="text1"/>
          <w:sz w:val="24"/>
          <w:szCs w:val="24"/>
        </w:rPr>
      </w:pPr>
    </w:p>
    <w:p w:rsidR="00540B0B" w:rsidRPr="00540B0B" w:rsidRDefault="00540B0B" w:rsidP="00540B0B">
      <w:pPr>
        <w:jc w:val="both"/>
        <w:rPr>
          <w:rFonts w:ascii="Bookman Old Style" w:hAnsi="Bookman Old Style" w:cs="Times New Roman"/>
          <w:b/>
          <w:color w:val="000000" w:themeColor="text1"/>
          <w:sz w:val="24"/>
          <w:szCs w:val="24"/>
        </w:rPr>
      </w:pPr>
      <w:r w:rsidRPr="00540B0B">
        <w:rPr>
          <w:rFonts w:ascii="Bookman Old Style" w:hAnsi="Bookman Old Style" w:cs="Times New Roman"/>
          <w:b/>
          <w:color w:val="000000" w:themeColor="text1"/>
          <w:sz w:val="24"/>
          <w:szCs w:val="24"/>
        </w:rPr>
        <w:t>Conclusão a respeito da Meta:</w:t>
      </w:r>
    </w:p>
    <w:p w:rsidR="00540B0B" w:rsidRPr="00540B0B" w:rsidRDefault="00540B0B" w:rsidP="00540B0B">
      <w:pPr>
        <w:ind w:firstLine="567"/>
        <w:jc w:val="both"/>
        <w:rPr>
          <w:rFonts w:ascii="Bookman Old Style" w:hAnsi="Bookman Old Style" w:cs="Times New Roman"/>
          <w:color w:val="000000" w:themeColor="text1"/>
          <w:sz w:val="24"/>
          <w:szCs w:val="24"/>
        </w:rPr>
      </w:pPr>
      <w:r w:rsidRPr="00540B0B">
        <w:rPr>
          <w:rFonts w:ascii="Bookman Old Style" w:hAnsi="Bookman Old Style" w:cs="Times New Roman"/>
          <w:color w:val="000000" w:themeColor="text1"/>
          <w:sz w:val="24"/>
          <w:szCs w:val="24"/>
        </w:rPr>
        <w:t xml:space="preserve">A Meta 01 do Plano Municipal de Educação é sumariamente importante para a qualificação, inclusão social e </w:t>
      </w:r>
      <w:proofErr w:type="spellStart"/>
      <w:r w:rsidRPr="00540B0B">
        <w:rPr>
          <w:rFonts w:ascii="Bookman Old Style" w:hAnsi="Bookman Old Style" w:cs="Times New Roman"/>
          <w:color w:val="000000" w:themeColor="text1"/>
          <w:sz w:val="24"/>
          <w:szCs w:val="24"/>
        </w:rPr>
        <w:t>exponenciação</w:t>
      </w:r>
      <w:proofErr w:type="spellEnd"/>
      <w:r w:rsidRPr="00540B0B">
        <w:rPr>
          <w:rFonts w:ascii="Bookman Old Style" w:hAnsi="Bookman Old Style" w:cs="Times New Roman"/>
          <w:color w:val="000000" w:themeColor="text1"/>
          <w:sz w:val="24"/>
          <w:szCs w:val="24"/>
        </w:rPr>
        <w:t xml:space="preserve"> da Educação em Paulo Bento. Conforme o já citado a Educação Infantil é a porta de entrada para o intrincado processo educativo que incidirá sobre a criança, durante a sua caminha estudantil. Notamos que o Município de Paulo Bento atende atualmente a esta meta, entretanto há indubitavelmente a necessidade de investir-se em </w:t>
      </w:r>
      <w:proofErr w:type="spellStart"/>
      <w:r w:rsidRPr="00540B0B">
        <w:rPr>
          <w:rFonts w:ascii="Bookman Old Style" w:hAnsi="Bookman Old Style" w:cs="Times New Roman"/>
          <w:color w:val="000000" w:themeColor="text1"/>
          <w:sz w:val="24"/>
          <w:szCs w:val="24"/>
        </w:rPr>
        <w:t>infraestrutura</w:t>
      </w:r>
      <w:proofErr w:type="spellEnd"/>
      <w:r w:rsidRPr="00540B0B">
        <w:rPr>
          <w:rFonts w:ascii="Bookman Old Style" w:hAnsi="Bookman Old Style" w:cs="Times New Roman"/>
          <w:color w:val="000000" w:themeColor="text1"/>
          <w:sz w:val="24"/>
          <w:szCs w:val="24"/>
        </w:rPr>
        <w:t xml:space="preserve"> (espaço físico) prioritariamente para atender a faixa etária de zero (0) a três (03) anos, para poder exceder aos 50% das matrículas já efetivadas e promover um maior incremento no número destas, na faixa etária correspondente (0 a </w:t>
      </w:r>
      <w:proofErr w:type="gramStart"/>
      <w:r w:rsidRPr="00540B0B">
        <w:rPr>
          <w:rFonts w:ascii="Bookman Old Style" w:hAnsi="Bookman Old Style" w:cs="Times New Roman"/>
          <w:color w:val="000000" w:themeColor="text1"/>
          <w:sz w:val="24"/>
          <w:szCs w:val="24"/>
        </w:rPr>
        <w:t>3</w:t>
      </w:r>
      <w:proofErr w:type="gramEnd"/>
      <w:r w:rsidRPr="00540B0B">
        <w:rPr>
          <w:rFonts w:ascii="Bookman Old Style" w:hAnsi="Bookman Old Style" w:cs="Times New Roman"/>
          <w:color w:val="000000" w:themeColor="text1"/>
          <w:sz w:val="24"/>
          <w:szCs w:val="24"/>
        </w:rPr>
        <w:t xml:space="preserve"> anos) além de todo o aparato pedagógico. É pertinente e se faz necessário estimular e tornar possível o aumento da Educação Infantil em tempo integral a patamares de minimamente 50%, conforme o previsto no Plano Nacional de Educação.</w:t>
      </w:r>
    </w:p>
    <w:p w:rsidR="00540B0B" w:rsidRDefault="00540B0B" w:rsidP="00540B0B">
      <w:pPr>
        <w:ind w:firstLine="567"/>
        <w:jc w:val="both"/>
        <w:rPr>
          <w:rFonts w:ascii="Bookman Old Style" w:hAnsi="Bookman Old Style" w:cs="Times New Roman"/>
          <w:color w:val="000000" w:themeColor="text1"/>
          <w:sz w:val="24"/>
          <w:szCs w:val="24"/>
        </w:rPr>
      </w:pPr>
      <w:r w:rsidRPr="00540B0B">
        <w:rPr>
          <w:rFonts w:ascii="Bookman Old Style" w:hAnsi="Bookman Old Style" w:cs="Times New Roman"/>
          <w:color w:val="000000" w:themeColor="text1"/>
          <w:sz w:val="24"/>
          <w:szCs w:val="24"/>
        </w:rPr>
        <w:t xml:space="preserve">Entretanto denota-se um esforço interdisciplinar de diversos órgãos do município para poder manter a contento o número que temos de matrículas na educação Infantil, com a realização da busca a ativa das crianças, de reuniões para conscientizar os pais da importância da Educação Infantil para a formação psicossocial da criança. Despender investimentos de natureza financeira e pessoal na formação e qualificação permanente do </w:t>
      </w:r>
      <w:r w:rsidRPr="00540B0B">
        <w:rPr>
          <w:rFonts w:ascii="Bookman Old Style" w:hAnsi="Bookman Old Style" w:cs="Times New Roman"/>
          <w:color w:val="000000" w:themeColor="text1"/>
          <w:sz w:val="24"/>
          <w:szCs w:val="24"/>
        </w:rPr>
        <w:lastRenderedPageBreak/>
        <w:t>quadro docente, valorizando os profissionais da educação. Há também de atentar para as temáticas a serem abordadas na Educação Infantil, para que sejam compatíveis com a faixa etária e abordem aspectos como a inclusão social e de crianças com deficiência, altas habilidades; sempre respeitando a individualidade de cada ser humano.</w:t>
      </w:r>
    </w:p>
    <w:p w:rsidR="00047456" w:rsidRDefault="00047456" w:rsidP="00047456">
      <w:pPr>
        <w:pStyle w:val="PargrafodaLista"/>
        <w:numPr>
          <w:ilvl w:val="0"/>
          <w:numId w:val="22"/>
        </w:numPr>
        <w:jc w:val="both"/>
        <w:rPr>
          <w:rFonts w:ascii="Bookman Old Style" w:hAnsi="Bookman Old Style" w:cs="Times New Roman"/>
          <w:b/>
          <w:color w:val="000000" w:themeColor="text1"/>
          <w:sz w:val="24"/>
          <w:szCs w:val="24"/>
        </w:rPr>
      </w:pPr>
      <w:r w:rsidRPr="00047456">
        <w:rPr>
          <w:rFonts w:ascii="Bookman Old Style" w:hAnsi="Bookman Old Style" w:cs="Times New Roman"/>
          <w:b/>
          <w:color w:val="000000" w:themeColor="text1"/>
          <w:sz w:val="24"/>
          <w:szCs w:val="24"/>
        </w:rPr>
        <w:t>Sugestão de Nova Redação da Meta:</w:t>
      </w:r>
    </w:p>
    <w:p w:rsidR="00047456" w:rsidRPr="00B405E3" w:rsidRDefault="00047456" w:rsidP="00047456">
      <w:pPr>
        <w:ind w:firstLine="567"/>
        <w:jc w:val="both"/>
        <w:rPr>
          <w:rFonts w:ascii="Bookman Old Style" w:hAnsi="Bookman Old Style" w:cs="Times New Roman"/>
          <w:i/>
          <w:color w:val="000000" w:themeColor="text1"/>
          <w:sz w:val="24"/>
          <w:szCs w:val="24"/>
        </w:rPr>
      </w:pPr>
      <w:r>
        <w:rPr>
          <w:rFonts w:ascii="Bookman Old Style" w:hAnsi="Bookman Old Style" w:cs="Times New Roman"/>
          <w:color w:val="000000" w:themeColor="text1"/>
          <w:sz w:val="24"/>
          <w:szCs w:val="24"/>
        </w:rPr>
        <w:t xml:space="preserve">Com relação </w:t>
      </w:r>
      <w:proofErr w:type="gramStart"/>
      <w:r>
        <w:rPr>
          <w:rFonts w:ascii="Bookman Old Style" w:hAnsi="Bookman Old Style" w:cs="Times New Roman"/>
          <w:color w:val="000000" w:themeColor="text1"/>
          <w:sz w:val="24"/>
          <w:szCs w:val="24"/>
        </w:rPr>
        <w:t>a</w:t>
      </w:r>
      <w:proofErr w:type="gramEnd"/>
      <w:r>
        <w:rPr>
          <w:rFonts w:ascii="Bookman Old Style" w:hAnsi="Bookman Old Style" w:cs="Times New Roman"/>
          <w:color w:val="000000" w:themeColor="text1"/>
          <w:sz w:val="24"/>
          <w:szCs w:val="24"/>
        </w:rPr>
        <w:t xml:space="preserve"> Meta nº. 01, após análise</w:t>
      </w:r>
      <w:r w:rsidR="00B405E3">
        <w:rPr>
          <w:rFonts w:ascii="Bookman Old Style" w:hAnsi="Bookman Old Style" w:cs="Times New Roman"/>
          <w:color w:val="000000" w:themeColor="text1"/>
          <w:sz w:val="24"/>
          <w:szCs w:val="24"/>
        </w:rPr>
        <w:t xml:space="preserve">, e considerando que a mesma não está em concordância com o PNE, propõe-se a seguinte redação na </w:t>
      </w:r>
      <w:r w:rsidR="00B405E3" w:rsidRPr="00B405E3">
        <w:rPr>
          <w:rFonts w:ascii="Bookman Old Style" w:hAnsi="Bookman Old Style" w:cs="Times New Roman"/>
          <w:color w:val="000000" w:themeColor="text1"/>
          <w:sz w:val="24"/>
          <w:szCs w:val="24"/>
        </w:rPr>
        <w:t>íntegra:</w:t>
      </w:r>
    </w:p>
    <w:p w:rsidR="00B405E3" w:rsidRPr="00B405E3" w:rsidRDefault="00B405E3" w:rsidP="00047456">
      <w:pPr>
        <w:ind w:firstLine="567"/>
        <w:jc w:val="both"/>
        <w:rPr>
          <w:rFonts w:ascii="Bookman Old Style" w:hAnsi="Bookman Old Style" w:cs="Times New Roman"/>
          <w:i/>
          <w:color w:val="000000" w:themeColor="text1"/>
          <w:sz w:val="24"/>
          <w:szCs w:val="24"/>
        </w:rPr>
      </w:pPr>
      <w:r w:rsidRPr="00B405E3">
        <w:rPr>
          <w:rFonts w:ascii="Bookman Old Style" w:hAnsi="Bookman Old Style" w:cs="Times New Roman"/>
          <w:i/>
          <w:color w:val="000000" w:themeColor="text1"/>
          <w:sz w:val="24"/>
          <w:szCs w:val="24"/>
        </w:rPr>
        <w:t xml:space="preserve">“Meta </w:t>
      </w:r>
      <w:proofErr w:type="gramStart"/>
      <w:r w:rsidRPr="00B405E3">
        <w:rPr>
          <w:rFonts w:ascii="Bookman Old Style" w:hAnsi="Bookman Old Style" w:cs="Times New Roman"/>
          <w:i/>
          <w:color w:val="000000" w:themeColor="text1"/>
          <w:sz w:val="24"/>
          <w:szCs w:val="24"/>
        </w:rPr>
        <w:t>1</w:t>
      </w:r>
      <w:proofErr w:type="gramEnd"/>
      <w:r w:rsidRPr="00B405E3">
        <w:rPr>
          <w:rFonts w:ascii="Bookman Old Style" w:hAnsi="Bookman Old Style" w:cs="Times New Roman"/>
          <w:i/>
          <w:color w:val="000000" w:themeColor="text1"/>
          <w:sz w:val="24"/>
          <w:szCs w:val="24"/>
        </w:rPr>
        <w:t>: universalizar, até 2016, a educação infantil na pré-escola para as crianças de 4 (quatro) a 5 (cinco) anos de idade e ampliar a oferta de educação infantil em creches de forma a atender, no mínimo, 50% (</w:t>
      </w:r>
      <w:proofErr w:type="spellStart"/>
      <w:r w:rsidRPr="00B405E3">
        <w:rPr>
          <w:rFonts w:ascii="Bookman Old Style" w:hAnsi="Bookman Old Style" w:cs="Times New Roman"/>
          <w:i/>
          <w:color w:val="000000" w:themeColor="text1"/>
          <w:sz w:val="24"/>
          <w:szCs w:val="24"/>
        </w:rPr>
        <w:t>cinquenta</w:t>
      </w:r>
      <w:proofErr w:type="spellEnd"/>
      <w:r w:rsidRPr="00B405E3">
        <w:rPr>
          <w:rFonts w:ascii="Bookman Old Style" w:hAnsi="Bookman Old Style" w:cs="Times New Roman"/>
          <w:i/>
          <w:color w:val="000000" w:themeColor="text1"/>
          <w:sz w:val="24"/>
          <w:szCs w:val="24"/>
        </w:rPr>
        <w:t xml:space="preserve"> por cento) das crianças de até 3 (três) anos </w:t>
      </w:r>
      <w:r w:rsidRPr="00B405E3">
        <w:rPr>
          <w:rFonts w:ascii="Bookman Old Style" w:hAnsi="Bookman Old Style" w:cs="Times New Roman"/>
          <w:i/>
          <w:color w:val="000000" w:themeColor="text1"/>
          <w:sz w:val="24"/>
          <w:szCs w:val="24"/>
          <w:highlight w:val="lightGray"/>
        </w:rPr>
        <w:t>até o final da vigência deste P</w:t>
      </w:r>
      <w:r>
        <w:rPr>
          <w:rFonts w:ascii="Bookman Old Style" w:hAnsi="Bookman Old Style" w:cs="Times New Roman"/>
          <w:i/>
          <w:color w:val="000000" w:themeColor="text1"/>
          <w:sz w:val="24"/>
          <w:szCs w:val="24"/>
          <w:highlight w:val="lightGray"/>
        </w:rPr>
        <w:t>N</w:t>
      </w:r>
      <w:r w:rsidRPr="00B405E3">
        <w:rPr>
          <w:rFonts w:ascii="Bookman Old Style" w:hAnsi="Bookman Old Style" w:cs="Times New Roman"/>
          <w:i/>
          <w:color w:val="000000" w:themeColor="text1"/>
          <w:sz w:val="24"/>
          <w:szCs w:val="24"/>
          <w:highlight w:val="lightGray"/>
        </w:rPr>
        <w:t>E.”</w:t>
      </w:r>
    </w:p>
    <w:p w:rsidR="00ED17C5" w:rsidRPr="00D81FEF" w:rsidRDefault="00ED17C5" w:rsidP="00D81FEF">
      <w:pPr>
        <w:pStyle w:val="Ttulo1"/>
        <w:numPr>
          <w:ilvl w:val="0"/>
          <w:numId w:val="24"/>
        </w:numPr>
        <w:ind w:left="709" w:hanging="349"/>
        <w:rPr>
          <w:rFonts w:ascii="Bookman Old Style" w:hAnsi="Bookman Old Style"/>
          <w:color w:val="auto"/>
        </w:rPr>
      </w:pPr>
      <w:bookmarkStart w:id="5" w:name="_Toc497809471"/>
      <w:r w:rsidRPr="00D81FEF">
        <w:rPr>
          <w:rFonts w:ascii="Bookman Old Style" w:hAnsi="Bookman Old Style"/>
          <w:color w:val="auto"/>
        </w:rPr>
        <w:t>Meta sobre Ensino Fundamental</w:t>
      </w:r>
      <w:bookmarkEnd w:id="5"/>
    </w:p>
    <w:p w:rsidR="00D022A1" w:rsidRPr="00B3094D" w:rsidRDefault="00D022A1" w:rsidP="00402223">
      <w:pPr>
        <w:rPr>
          <w:rFonts w:ascii="Bookman Old Style" w:hAnsi="Bookman Old Style" w:cs="Times New Roman"/>
          <w:b/>
          <w:color w:val="000000" w:themeColor="text1"/>
          <w:sz w:val="24"/>
          <w:szCs w:val="24"/>
        </w:rPr>
      </w:pPr>
    </w:p>
    <w:p w:rsidR="00987CE2" w:rsidRDefault="00987CE2" w:rsidP="00AF2347">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 02</w:t>
      </w:r>
      <w:r w:rsidR="00AF2347">
        <w:rPr>
          <w:rFonts w:ascii="Bookman Old Style" w:hAnsi="Bookman Old Style" w:cs="Times New Roman"/>
          <w:b/>
          <w:color w:val="000000" w:themeColor="text1"/>
          <w:sz w:val="24"/>
          <w:szCs w:val="24"/>
        </w:rPr>
        <w:t>:</w:t>
      </w:r>
      <w:proofErr w:type="gramStart"/>
      <w:r w:rsidR="00AF2347">
        <w:rPr>
          <w:rFonts w:ascii="Bookman Old Style" w:hAnsi="Bookman Old Style" w:cs="Times New Roman"/>
          <w:b/>
          <w:color w:val="000000" w:themeColor="text1"/>
          <w:sz w:val="24"/>
          <w:szCs w:val="24"/>
        </w:rPr>
        <w:t xml:space="preserve"> </w:t>
      </w:r>
      <w:r w:rsidR="00AF2347" w:rsidRPr="00AF2347">
        <w:t xml:space="preserve"> </w:t>
      </w:r>
      <w:proofErr w:type="gramEnd"/>
      <w:r w:rsidR="00AF2347" w:rsidRPr="00AF2347">
        <w:rPr>
          <w:rFonts w:ascii="Bookman Old Style" w:hAnsi="Bookman Old Style" w:cs="Times New Roman"/>
          <w:b/>
          <w:color w:val="000000" w:themeColor="text1"/>
          <w:sz w:val="24"/>
          <w:szCs w:val="24"/>
        </w:rPr>
        <w:t>Universalizar o ensino fundamental de nove anos para toda a população de 6 a 14 anos e garantir que pelo menos 95% dos alunos concluam essa etapa na idade recomendada, até o último ano de vigência deste PNE.</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AF2347" w:rsidRPr="00D049A9" w:rsidTr="00AF2347">
        <w:trPr>
          <w:gridBefore w:val="1"/>
          <w:wBefore w:w="1456" w:type="dxa"/>
          <w:trHeight w:val="948"/>
        </w:trPr>
        <w:tc>
          <w:tcPr>
            <w:tcW w:w="1330" w:type="dxa"/>
            <w:vAlign w:val="center"/>
          </w:tcPr>
          <w:p w:rsidR="00AF2347" w:rsidRPr="00D049A9" w:rsidRDefault="00AF2347" w:rsidP="00AF2347">
            <w:pPr>
              <w:rPr>
                <w:rFonts w:ascii="Bookman Old Style" w:hAnsi="Bookman Old Style" w:cs="Times New Roman"/>
                <w:color w:val="000000" w:themeColor="text1"/>
                <w:sz w:val="20"/>
                <w:szCs w:val="20"/>
              </w:rPr>
            </w:pPr>
          </w:p>
          <w:p w:rsidR="00AF2347"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2</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AF2347" w:rsidRPr="00D049A9" w:rsidRDefault="00AF2347" w:rsidP="00AF2347">
            <w:pPr>
              <w:jc w:val="center"/>
              <w:rPr>
                <w:rFonts w:ascii="Bookman Old Style" w:hAnsi="Bookman Old Style" w:cs="Times New Roman"/>
                <w:color w:val="000000" w:themeColor="text1"/>
                <w:sz w:val="20"/>
                <w:szCs w:val="20"/>
              </w:rPr>
            </w:pPr>
          </w:p>
        </w:tc>
        <w:tc>
          <w:tcPr>
            <w:tcW w:w="7640" w:type="dxa"/>
            <w:gridSpan w:val="3"/>
            <w:vAlign w:val="center"/>
          </w:tcPr>
          <w:p w:rsidR="00AF2347" w:rsidRPr="00D049A9" w:rsidRDefault="00AF2347" w:rsidP="00AF2347">
            <w:pPr>
              <w:jc w:val="center"/>
              <w:rPr>
                <w:rFonts w:ascii="Bookman Old Style" w:hAnsi="Bookman Old Style" w:cs="Times New Roman"/>
                <w:b/>
                <w:color w:val="000000" w:themeColor="text1"/>
                <w:sz w:val="20"/>
                <w:szCs w:val="20"/>
              </w:rPr>
            </w:pPr>
            <w:r w:rsidRPr="00AF2347">
              <w:rPr>
                <w:rFonts w:ascii="Bookman Old Style" w:hAnsi="Bookman Old Style" w:cs="Times New Roman"/>
                <w:b/>
                <w:color w:val="000000" w:themeColor="text1"/>
                <w:sz w:val="20"/>
                <w:szCs w:val="20"/>
              </w:rPr>
              <w:t xml:space="preserve">Percentual da população de 6 a 14 anos que </w:t>
            </w:r>
            <w:proofErr w:type="spellStart"/>
            <w:r w:rsidRPr="00AF2347">
              <w:rPr>
                <w:rFonts w:ascii="Bookman Old Style" w:hAnsi="Bookman Old Style" w:cs="Times New Roman"/>
                <w:b/>
                <w:color w:val="000000" w:themeColor="text1"/>
                <w:sz w:val="20"/>
                <w:szCs w:val="20"/>
              </w:rPr>
              <w:t>frequenta</w:t>
            </w:r>
            <w:proofErr w:type="spellEnd"/>
            <w:r w:rsidRPr="00AF2347">
              <w:rPr>
                <w:rFonts w:ascii="Bookman Old Style" w:hAnsi="Bookman Old Style" w:cs="Times New Roman"/>
                <w:b/>
                <w:color w:val="000000" w:themeColor="text1"/>
                <w:sz w:val="20"/>
                <w:szCs w:val="20"/>
              </w:rPr>
              <w:t xml:space="preserve"> a escola.</w:t>
            </w:r>
          </w:p>
        </w:tc>
      </w:tr>
      <w:tr w:rsidR="00AF2347" w:rsidRPr="00D049A9" w:rsidTr="00AF2347">
        <w:tblPrEx>
          <w:tblCellMar>
            <w:left w:w="108" w:type="dxa"/>
            <w:right w:w="108" w:type="dxa"/>
          </w:tblCellMar>
          <w:tblLook w:val="04A0"/>
        </w:tblPrEx>
        <w:trPr>
          <w:gridBefore w:val="1"/>
          <w:wBefore w:w="1456" w:type="dxa"/>
          <w:trHeight w:val="325"/>
        </w:trPr>
        <w:tc>
          <w:tcPr>
            <w:tcW w:w="1330" w:type="dxa"/>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AF2347" w:rsidRPr="00D049A9" w:rsidTr="00AF2347">
        <w:trPr>
          <w:trHeight w:val="284"/>
        </w:trPr>
        <w:tc>
          <w:tcPr>
            <w:tcW w:w="1456" w:type="dxa"/>
            <w:vMerge w:val="restart"/>
            <w:tcBorders>
              <w:top w:val="nil"/>
              <w:left w:val="nil"/>
              <w:bottom w:val="nil"/>
            </w:tcBorders>
            <w:shd w:val="clear" w:color="auto" w:fill="auto"/>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330" w:type="dxa"/>
            <w:vMerge w:val="restart"/>
            <w:vAlign w:val="center"/>
          </w:tcPr>
          <w:p w:rsidR="00AF2347" w:rsidRPr="00D049A9" w:rsidRDefault="00AF2347" w:rsidP="00AF234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99,10</w:t>
            </w:r>
            <w:r w:rsidRPr="00D049A9">
              <w:rPr>
                <w:rFonts w:ascii="Bookman Old Style" w:hAnsi="Bookman Old Style" w:cs="Times New Roman"/>
                <w:b/>
                <w:color w:val="000000" w:themeColor="text1"/>
                <w:sz w:val="20"/>
                <w:szCs w:val="20"/>
              </w:rPr>
              <w:t>%</w:t>
            </w:r>
          </w:p>
        </w:tc>
        <w:tc>
          <w:tcPr>
            <w:tcW w:w="4649" w:type="dxa"/>
            <w:vAlign w:val="center"/>
          </w:tcPr>
          <w:p w:rsidR="00AF2347" w:rsidRPr="00D049A9" w:rsidRDefault="00AF2347" w:rsidP="00AF2347">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AF2347" w:rsidRPr="00D049A9" w:rsidTr="00AF2347">
        <w:trPr>
          <w:trHeight w:val="284"/>
        </w:trPr>
        <w:tc>
          <w:tcPr>
            <w:tcW w:w="1456" w:type="dxa"/>
            <w:vMerge/>
            <w:tcBorders>
              <w:left w:val="nil"/>
              <w:bottom w:val="nil"/>
            </w:tcBorders>
            <w:shd w:val="clear" w:color="auto" w:fill="auto"/>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330" w:type="dxa"/>
            <w:vMerge/>
            <w:vAlign w:val="center"/>
          </w:tcPr>
          <w:p w:rsidR="00AF2347" w:rsidRPr="00D049A9" w:rsidRDefault="00AF2347" w:rsidP="00AF2347">
            <w:pPr>
              <w:jc w:val="center"/>
              <w:rPr>
                <w:rFonts w:ascii="Bookman Old Style" w:hAnsi="Bookman Old Style" w:cs="Times New Roman"/>
                <w:b/>
                <w:color w:val="000000" w:themeColor="text1"/>
                <w:sz w:val="20"/>
                <w:szCs w:val="20"/>
              </w:rPr>
            </w:pPr>
          </w:p>
        </w:tc>
        <w:tc>
          <w:tcPr>
            <w:tcW w:w="1292" w:type="dxa"/>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69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p>
        </w:tc>
        <w:tc>
          <w:tcPr>
            <w:tcW w:w="4649" w:type="dxa"/>
            <w:vAlign w:val="center"/>
          </w:tcPr>
          <w:p w:rsidR="00AF2347" w:rsidRPr="00D049A9" w:rsidRDefault="00AF2347" w:rsidP="00AF2347">
            <w:pPr>
              <w:jc w:val="both"/>
              <w:rPr>
                <w:rFonts w:ascii="Bookman Old Style" w:hAnsi="Bookman Old Style" w:cs="Times New Roman"/>
                <w:color w:val="000000" w:themeColor="text1"/>
                <w:sz w:val="20"/>
                <w:szCs w:val="20"/>
              </w:rPr>
            </w:pPr>
          </w:p>
        </w:tc>
      </w:tr>
    </w:tbl>
    <w:p w:rsidR="00176EE9" w:rsidRDefault="00176EE9" w:rsidP="00AF2347">
      <w:pPr>
        <w:pStyle w:val="PargrafodaLista"/>
        <w:ind w:left="0"/>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AF2347" w:rsidRPr="00D049A9" w:rsidTr="00AF2347">
        <w:trPr>
          <w:gridBefore w:val="1"/>
          <w:wBefore w:w="1456" w:type="dxa"/>
          <w:trHeight w:val="948"/>
        </w:trPr>
        <w:tc>
          <w:tcPr>
            <w:tcW w:w="1330" w:type="dxa"/>
            <w:vAlign w:val="center"/>
          </w:tcPr>
          <w:p w:rsidR="00AF2347" w:rsidRPr="00D049A9" w:rsidRDefault="00AF2347" w:rsidP="00AF2347">
            <w:pPr>
              <w:rPr>
                <w:rFonts w:ascii="Bookman Old Style" w:hAnsi="Bookman Old Style" w:cs="Times New Roman"/>
                <w:color w:val="000000" w:themeColor="text1"/>
                <w:sz w:val="20"/>
                <w:szCs w:val="20"/>
              </w:rPr>
            </w:pPr>
          </w:p>
          <w:p w:rsidR="00AF2347"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2</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AF2347" w:rsidRPr="00D049A9" w:rsidRDefault="00AF2347" w:rsidP="00AF2347">
            <w:pPr>
              <w:jc w:val="center"/>
              <w:rPr>
                <w:rFonts w:ascii="Bookman Old Style" w:hAnsi="Bookman Old Style" w:cs="Times New Roman"/>
                <w:color w:val="000000" w:themeColor="text1"/>
                <w:sz w:val="20"/>
                <w:szCs w:val="20"/>
              </w:rPr>
            </w:pPr>
          </w:p>
        </w:tc>
        <w:tc>
          <w:tcPr>
            <w:tcW w:w="7640" w:type="dxa"/>
            <w:gridSpan w:val="3"/>
            <w:vAlign w:val="center"/>
          </w:tcPr>
          <w:p w:rsidR="00AF2347" w:rsidRPr="00D049A9" w:rsidRDefault="00AF2347" w:rsidP="00AF2347">
            <w:pPr>
              <w:jc w:val="center"/>
              <w:rPr>
                <w:rFonts w:ascii="Bookman Old Style" w:hAnsi="Bookman Old Style" w:cs="Times New Roman"/>
                <w:b/>
                <w:color w:val="000000" w:themeColor="text1"/>
                <w:sz w:val="20"/>
                <w:szCs w:val="20"/>
              </w:rPr>
            </w:pPr>
            <w:r w:rsidRPr="00AF2347">
              <w:rPr>
                <w:rFonts w:ascii="Bookman Old Style" w:hAnsi="Bookman Old Style" w:cs="Times New Roman"/>
                <w:b/>
                <w:color w:val="000000" w:themeColor="text1"/>
                <w:sz w:val="20"/>
                <w:szCs w:val="20"/>
              </w:rPr>
              <w:t>Percentual de pessoas de 16 anos com pelo menos o ensino fundamental concluído.</w:t>
            </w:r>
          </w:p>
        </w:tc>
      </w:tr>
      <w:tr w:rsidR="00AF2347" w:rsidRPr="00D049A9" w:rsidTr="00AF2347">
        <w:tblPrEx>
          <w:tblCellMar>
            <w:left w:w="108" w:type="dxa"/>
            <w:right w:w="108" w:type="dxa"/>
          </w:tblCellMar>
          <w:tblLook w:val="04A0"/>
        </w:tblPrEx>
        <w:trPr>
          <w:gridBefore w:val="1"/>
          <w:wBefore w:w="1456" w:type="dxa"/>
          <w:trHeight w:val="325"/>
        </w:trPr>
        <w:tc>
          <w:tcPr>
            <w:tcW w:w="1330" w:type="dxa"/>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AF2347" w:rsidRPr="00D049A9" w:rsidTr="00AF2347">
        <w:trPr>
          <w:trHeight w:val="284"/>
        </w:trPr>
        <w:tc>
          <w:tcPr>
            <w:tcW w:w="1456" w:type="dxa"/>
            <w:vMerge w:val="restart"/>
            <w:tcBorders>
              <w:top w:val="nil"/>
              <w:left w:val="nil"/>
              <w:bottom w:val="nil"/>
            </w:tcBorders>
            <w:shd w:val="clear" w:color="auto" w:fill="auto"/>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330" w:type="dxa"/>
            <w:vMerge w:val="restart"/>
            <w:vAlign w:val="center"/>
          </w:tcPr>
          <w:p w:rsidR="00AF2347" w:rsidRPr="00D049A9" w:rsidRDefault="000517F8" w:rsidP="00AF234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95</w:t>
            </w:r>
            <w:r w:rsidR="00AF2347" w:rsidRPr="00D049A9">
              <w:rPr>
                <w:rFonts w:ascii="Bookman Old Style" w:hAnsi="Bookman Old Style" w:cs="Times New Roman"/>
                <w:b/>
                <w:color w:val="000000" w:themeColor="text1"/>
                <w:sz w:val="20"/>
                <w:szCs w:val="20"/>
              </w:rPr>
              <w:t>%</w:t>
            </w:r>
          </w:p>
        </w:tc>
        <w:tc>
          <w:tcPr>
            <w:tcW w:w="1292" w:type="dxa"/>
            <w:vAlign w:val="center"/>
          </w:tcPr>
          <w:p w:rsidR="00AF2347" w:rsidRPr="00D049A9" w:rsidRDefault="00AF2347" w:rsidP="00AF234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66,70</w:t>
            </w:r>
            <w:r w:rsidRPr="00D049A9">
              <w:rPr>
                <w:rFonts w:ascii="Bookman Old Style" w:hAnsi="Bookman Old Style" w:cs="Times New Roman"/>
                <w:b/>
                <w:color w:val="000000" w:themeColor="text1"/>
                <w:sz w:val="20"/>
                <w:szCs w:val="20"/>
              </w:rPr>
              <w:t>%</w:t>
            </w:r>
          </w:p>
        </w:tc>
        <w:tc>
          <w:tcPr>
            <w:tcW w:w="4649" w:type="dxa"/>
            <w:vAlign w:val="center"/>
          </w:tcPr>
          <w:p w:rsidR="00AF2347" w:rsidRPr="00D049A9" w:rsidRDefault="00AF2347" w:rsidP="00AF2347">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AF2347" w:rsidRPr="00D049A9" w:rsidTr="00AF2347">
        <w:trPr>
          <w:trHeight w:val="284"/>
        </w:trPr>
        <w:tc>
          <w:tcPr>
            <w:tcW w:w="1456" w:type="dxa"/>
            <w:vMerge/>
            <w:tcBorders>
              <w:left w:val="nil"/>
              <w:bottom w:val="nil"/>
            </w:tcBorders>
            <w:shd w:val="clear" w:color="auto" w:fill="auto"/>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330" w:type="dxa"/>
            <w:vMerge/>
            <w:vAlign w:val="center"/>
          </w:tcPr>
          <w:p w:rsidR="00AF2347" w:rsidRPr="00D049A9" w:rsidRDefault="00AF2347" w:rsidP="00AF2347">
            <w:pPr>
              <w:jc w:val="center"/>
              <w:rPr>
                <w:rFonts w:ascii="Bookman Old Style" w:hAnsi="Bookman Old Style" w:cs="Times New Roman"/>
                <w:b/>
                <w:color w:val="000000" w:themeColor="text1"/>
                <w:sz w:val="20"/>
                <w:szCs w:val="20"/>
              </w:rPr>
            </w:pPr>
          </w:p>
        </w:tc>
        <w:tc>
          <w:tcPr>
            <w:tcW w:w="1292" w:type="dxa"/>
            <w:vAlign w:val="center"/>
          </w:tcPr>
          <w:p w:rsidR="00AF2347" w:rsidRPr="00D049A9" w:rsidRDefault="00AF2347" w:rsidP="00AF2347">
            <w:pPr>
              <w:jc w:val="center"/>
              <w:rPr>
                <w:rFonts w:ascii="Bookman Old Style" w:hAnsi="Bookman Old Style" w:cs="Times New Roman"/>
                <w:color w:val="000000" w:themeColor="text1"/>
                <w:sz w:val="20"/>
                <w:szCs w:val="20"/>
              </w:rPr>
            </w:pPr>
          </w:p>
        </w:tc>
        <w:tc>
          <w:tcPr>
            <w:tcW w:w="1699" w:type="dxa"/>
            <w:vAlign w:val="center"/>
          </w:tcPr>
          <w:p w:rsidR="00AF2347" w:rsidRPr="00D049A9" w:rsidRDefault="00AF2347" w:rsidP="00AF2347">
            <w:pPr>
              <w:jc w:val="center"/>
              <w:rPr>
                <w:rFonts w:ascii="Bookman Old Style" w:hAnsi="Bookman Old Style" w:cs="Times New Roman"/>
                <w:b/>
                <w:color w:val="000000" w:themeColor="text1"/>
                <w:sz w:val="20"/>
                <w:szCs w:val="20"/>
              </w:rPr>
            </w:pPr>
          </w:p>
        </w:tc>
        <w:tc>
          <w:tcPr>
            <w:tcW w:w="4649" w:type="dxa"/>
            <w:vAlign w:val="center"/>
          </w:tcPr>
          <w:p w:rsidR="00AF2347" w:rsidRPr="00D049A9" w:rsidRDefault="00AF2347" w:rsidP="00AF2347">
            <w:pPr>
              <w:jc w:val="both"/>
              <w:rPr>
                <w:rFonts w:ascii="Bookman Old Style" w:hAnsi="Bookman Old Style" w:cs="Times New Roman"/>
                <w:color w:val="000000" w:themeColor="text1"/>
                <w:sz w:val="20"/>
                <w:szCs w:val="20"/>
              </w:rPr>
            </w:pPr>
          </w:p>
        </w:tc>
      </w:tr>
    </w:tbl>
    <w:p w:rsidR="00AF2347" w:rsidRDefault="00AF2347" w:rsidP="00AF2347">
      <w:pPr>
        <w:pStyle w:val="PargrafodaLista"/>
        <w:ind w:left="0"/>
        <w:rPr>
          <w:rFonts w:ascii="Bookman Old Style" w:hAnsi="Bookman Old Style" w:cs="Times New Roman"/>
          <w:color w:val="000000" w:themeColor="text1"/>
          <w:sz w:val="24"/>
          <w:szCs w:val="24"/>
        </w:rPr>
      </w:pPr>
    </w:p>
    <w:p w:rsidR="00AF2347" w:rsidRPr="00AF2347" w:rsidRDefault="00AF2347" w:rsidP="00AF2347">
      <w:pPr>
        <w:jc w:val="both"/>
        <w:rPr>
          <w:rFonts w:ascii="Bookman Old Style" w:hAnsi="Bookman Old Style" w:cs="Times New Roman"/>
          <w:b/>
          <w:color w:val="000000" w:themeColor="text1"/>
          <w:sz w:val="24"/>
          <w:szCs w:val="24"/>
        </w:rPr>
      </w:pPr>
      <w:r w:rsidRPr="00AF2347">
        <w:rPr>
          <w:rFonts w:ascii="Bookman Old Style" w:hAnsi="Bookman Old Style" w:cs="Times New Roman"/>
          <w:b/>
          <w:color w:val="000000" w:themeColor="text1"/>
          <w:sz w:val="24"/>
          <w:szCs w:val="24"/>
        </w:rPr>
        <w:t>Contextualização da Meta:</w:t>
      </w: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r w:rsidRPr="00AF2347">
        <w:rPr>
          <w:rFonts w:ascii="Bookman Old Style" w:hAnsi="Bookman Old Style" w:cs="Times New Roman"/>
          <w:color w:val="000000" w:themeColor="text1"/>
          <w:sz w:val="24"/>
          <w:szCs w:val="24"/>
        </w:rPr>
        <w:t xml:space="preserve">A Meta de nº. 02 do Plano Municipal de Educação </w:t>
      </w:r>
      <w:proofErr w:type="gramStart"/>
      <w:r w:rsidRPr="00AF2347">
        <w:rPr>
          <w:rFonts w:ascii="Bookman Old Style" w:hAnsi="Bookman Old Style" w:cs="Times New Roman"/>
          <w:color w:val="000000" w:themeColor="text1"/>
          <w:sz w:val="24"/>
          <w:szCs w:val="24"/>
        </w:rPr>
        <w:t>enseja</w:t>
      </w:r>
      <w:proofErr w:type="gramEnd"/>
      <w:r w:rsidRPr="00AF2347">
        <w:rPr>
          <w:rFonts w:ascii="Bookman Old Style" w:hAnsi="Bookman Old Style" w:cs="Times New Roman"/>
          <w:color w:val="000000" w:themeColor="text1"/>
          <w:sz w:val="24"/>
          <w:szCs w:val="24"/>
        </w:rPr>
        <w:t xml:space="preserve"> universalizar o ensino fundamental dos nove anos, para toda a população da faixa etária dos nove (09) aos quatorze (14) anos, até o último ano de vigência do Plano, alinhada expressamente com o Plano Nacional da Educação. </w:t>
      </w: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r w:rsidRPr="00AF2347">
        <w:rPr>
          <w:rFonts w:ascii="Bookman Old Style" w:hAnsi="Bookman Old Style" w:cs="Times New Roman"/>
          <w:color w:val="000000" w:themeColor="text1"/>
          <w:sz w:val="24"/>
          <w:szCs w:val="24"/>
        </w:rPr>
        <w:t>O ensino fundamental é a base para a formação do conhecimento teórico/prático do indivíduo e a sua formação profissional, é nesta etapa onde se introduz as matérias das ciências exatas e sociais, que irão indubitavelmente contribuir para a formação do cidadão, como ser pensante e questionador, capaz de inferir conclusões lógicas a respeito do mundo que o circunda. Tornar possível que uma significativa e até absoluta parcela da população de Paulo Bento, em idade escolar tenha a possibilidade de concluir o ensino fundamental, é deveras significativamente importante, pois elevará a cultura das pessoas e os preparará mais qualificativamente para o mercado de trabalho. Há também de nos atentarmos para que a recomendação no Plano Nacional de Educação assevera a respeito da educação fundamental, pra que a população de seis (06) a quatorze (14) anos tenha plenas condições de concluí-la com qualidade. Portanto é dever do ente público criar condições favoráveis para que os seus cidadãos desenvolvam as suas capacidades e competências, e isto passa de uma forma implícita pela educação fundamental.</w:t>
      </w: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r w:rsidRPr="00AF2347">
        <w:rPr>
          <w:rFonts w:ascii="Bookman Old Style" w:hAnsi="Bookman Old Style" w:cs="Times New Roman"/>
          <w:color w:val="000000" w:themeColor="text1"/>
          <w:sz w:val="24"/>
          <w:szCs w:val="24"/>
        </w:rPr>
        <w:t xml:space="preserve">As estratégias adotadas no monitoramento </w:t>
      </w:r>
      <w:proofErr w:type="gramStart"/>
      <w:r w:rsidRPr="00AF2347">
        <w:rPr>
          <w:rFonts w:ascii="Bookman Old Style" w:hAnsi="Bookman Old Style" w:cs="Times New Roman"/>
          <w:color w:val="000000" w:themeColor="text1"/>
          <w:sz w:val="24"/>
          <w:szCs w:val="24"/>
        </w:rPr>
        <w:t>articulam-se</w:t>
      </w:r>
      <w:proofErr w:type="gramEnd"/>
      <w:r w:rsidRPr="00AF2347">
        <w:rPr>
          <w:rFonts w:ascii="Bookman Old Style" w:hAnsi="Bookman Old Style" w:cs="Times New Roman"/>
          <w:color w:val="000000" w:themeColor="text1"/>
          <w:sz w:val="24"/>
          <w:szCs w:val="24"/>
        </w:rPr>
        <w:t xml:space="preserve"> com a meta de uma forma a possibilitar que se criem condições necessárias e </w:t>
      </w:r>
      <w:r w:rsidRPr="00AF2347">
        <w:rPr>
          <w:rFonts w:ascii="Bookman Old Style" w:hAnsi="Bookman Old Style" w:cs="Times New Roman"/>
          <w:color w:val="000000" w:themeColor="text1"/>
          <w:sz w:val="24"/>
          <w:szCs w:val="24"/>
        </w:rPr>
        <w:lastRenderedPageBreak/>
        <w:t xml:space="preserve">imprescindíveis a garantir a permanência e a conclusão do ensino fundamental de nova anos dos alunos dos seis (06) aos quatorze (14) anos. Visando fortalecer os meios para manter os alunos em sala de aula, atuando na interdisciplinaridade entre as áreas (saúde, assistência social e educação), manter o transporte escolar gratuito para esta etapa de ensino, investir na </w:t>
      </w:r>
      <w:proofErr w:type="spellStart"/>
      <w:r w:rsidRPr="00AF2347">
        <w:rPr>
          <w:rFonts w:ascii="Bookman Old Style" w:hAnsi="Bookman Old Style" w:cs="Times New Roman"/>
          <w:color w:val="000000" w:themeColor="text1"/>
          <w:sz w:val="24"/>
          <w:szCs w:val="24"/>
        </w:rPr>
        <w:t>infraestrutura</w:t>
      </w:r>
      <w:proofErr w:type="spellEnd"/>
      <w:r w:rsidRPr="00AF2347">
        <w:rPr>
          <w:rFonts w:ascii="Bookman Old Style" w:hAnsi="Bookman Old Style" w:cs="Times New Roman"/>
          <w:color w:val="000000" w:themeColor="text1"/>
          <w:sz w:val="24"/>
          <w:szCs w:val="24"/>
        </w:rPr>
        <w:t xml:space="preserve"> adequada, recursos humanos qualificados para o atendimento aos alunos. Promover a inclusão social dos alunos, proporcionando um ambienta aprazível e agradável no âmbito da escola.</w:t>
      </w: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p>
    <w:p w:rsidR="00AF2347" w:rsidRPr="00AF2347" w:rsidRDefault="00AF2347" w:rsidP="00AF2347">
      <w:pPr>
        <w:jc w:val="both"/>
        <w:rPr>
          <w:rFonts w:ascii="Bookman Old Style" w:hAnsi="Bookman Old Style" w:cs="Times New Roman"/>
          <w:b/>
          <w:color w:val="000000" w:themeColor="text1"/>
          <w:sz w:val="24"/>
          <w:szCs w:val="24"/>
        </w:rPr>
      </w:pPr>
      <w:r w:rsidRPr="00AF2347">
        <w:rPr>
          <w:rFonts w:ascii="Bookman Old Style" w:hAnsi="Bookman Old Style" w:cs="Times New Roman"/>
          <w:b/>
          <w:color w:val="000000" w:themeColor="text1"/>
          <w:sz w:val="24"/>
          <w:szCs w:val="24"/>
        </w:rPr>
        <w:t>Sistematização e Análise dos Dados:</w:t>
      </w: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r w:rsidRPr="00AF2347">
        <w:rPr>
          <w:rFonts w:ascii="Bookman Old Style" w:hAnsi="Bookman Old Style" w:cs="Times New Roman"/>
          <w:color w:val="000000" w:themeColor="text1"/>
          <w:sz w:val="24"/>
          <w:szCs w:val="24"/>
        </w:rPr>
        <w:t>Os dados obtidos para o monitoramento avaliativo da meta, personificados sob a forma dos indicadores 2A e 2B, foram extraídos do PNE em movimento, e tiveram por base o ano de 2016, conforme ilustram os gráficos dos indicadores abaixo.</w:t>
      </w:r>
    </w:p>
    <w:p w:rsidR="00AF2347" w:rsidRDefault="00AF2347" w:rsidP="00AF2347">
      <w:pPr>
        <w:pStyle w:val="PargrafodaLista"/>
        <w:ind w:left="0"/>
        <w:jc w:val="center"/>
        <w:rPr>
          <w:rFonts w:ascii="Bookman Old Style" w:hAnsi="Bookman Old Style" w:cs="Times New Roman"/>
          <w:color w:val="000000" w:themeColor="text1"/>
          <w:sz w:val="24"/>
          <w:szCs w:val="24"/>
        </w:rPr>
      </w:pPr>
      <w:r w:rsidRPr="00AF2347">
        <w:rPr>
          <w:rFonts w:ascii="Bookman Old Style" w:hAnsi="Bookman Old Style" w:cs="Times New Roman"/>
          <w:noProof/>
          <w:color w:val="000000" w:themeColor="text1"/>
          <w:sz w:val="24"/>
          <w:szCs w:val="24"/>
          <w:lang w:eastAsia="pt-BR"/>
        </w:rPr>
        <w:drawing>
          <wp:inline distT="0" distB="0" distL="0" distR="0">
            <wp:extent cx="4572000" cy="3248025"/>
            <wp:effectExtent l="19050" t="0" r="1905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F2347" w:rsidRDefault="00AF2347" w:rsidP="00AF2347">
      <w:pPr>
        <w:pStyle w:val="PargrafodaLista"/>
        <w:ind w:left="0"/>
        <w:jc w:val="center"/>
        <w:rPr>
          <w:rFonts w:ascii="Bookman Old Style" w:hAnsi="Bookman Old Style" w:cs="Times New Roman"/>
          <w:color w:val="000000" w:themeColor="text1"/>
          <w:sz w:val="24"/>
          <w:szCs w:val="24"/>
        </w:rPr>
      </w:pPr>
    </w:p>
    <w:p w:rsidR="00AF2347" w:rsidRPr="00AF2347" w:rsidRDefault="00AF2347" w:rsidP="00AF2347">
      <w:pPr>
        <w:pStyle w:val="PargrafodaLista"/>
        <w:ind w:left="0"/>
        <w:jc w:val="center"/>
        <w:rPr>
          <w:rFonts w:ascii="Bookman Old Style" w:hAnsi="Bookman Old Style" w:cs="Times New Roman"/>
          <w:color w:val="000000" w:themeColor="text1"/>
          <w:sz w:val="24"/>
          <w:szCs w:val="24"/>
        </w:rPr>
      </w:pPr>
      <w:r w:rsidRPr="00AF2347">
        <w:rPr>
          <w:rFonts w:ascii="Bookman Old Style" w:hAnsi="Bookman Old Style" w:cs="Times New Roman"/>
          <w:noProof/>
          <w:color w:val="000000" w:themeColor="text1"/>
          <w:sz w:val="24"/>
          <w:szCs w:val="24"/>
          <w:lang w:eastAsia="pt-BR"/>
        </w:rPr>
        <w:lastRenderedPageBreak/>
        <w:drawing>
          <wp:inline distT="0" distB="0" distL="0" distR="0">
            <wp:extent cx="4648200" cy="3057525"/>
            <wp:effectExtent l="19050" t="0" r="19050" b="0"/>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2347" w:rsidRPr="00AF2347" w:rsidRDefault="00AF2347" w:rsidP="00AF2347">
      <w:pPr>
        <w:pStyle w:val="PargrafodaLista"/>
        <w:ind w:left="0" w:firstLine="567"/>
        <w:jc w:val="both"/>
        <w:rPr>
          <w:rFonts w:ascii="Bookman Old Style" w:hAnsi="Bookman Old Style" w:cs="Times New Roman"/>
          <w:color w:val="000000" w:themeColor="text1"/>
          <w:sz w:val="24"/>
          <w:szCs w:val="24"/>
        </w:rPr>
      </w:pPr>
    </w:p>
    <w:p w:rsidR="00AF2347" w:rsidRDefault="00AF2347" w:rsidP="00AF2347">
      <w:pPr>
        <w:pStyle w:val="PargrafodaLista"/>
        <w:ind w:left="0" w:firstLine="567"/>
        <w:jc w:val="both"/>
        <w:rPr>
          <w:rFonts w:ascii="Bookman Old Style" w:hAnsi="Bookman Old Style" w:cs="Times New Roman"/>
          <w:color w:val="000000" w:themeColor="text1"/>
          <w:sz w:val="24"/>
          <w:szCs w:val="24"/>
        </w:rPr>
      </w:pPr>
      <w:r w:rsidRPr="00AF2347">
        <w:rPr>
          <w:rFonts w:ascii="Bookman Old Style" w:hAnsi="Bookman Old Style" w:cs="Times New Roman"/>
          <w:color w:val="000000" w:themeColor="text1"/>
          <w:sz w:val="24"/>
          <w:szCs w:val="24"/>
        </w:rPr>
        <w:t xml:space="preserve">Os dados obtidos junto ao PNE em Movimento ilustradores dos gráficos acima traduzem o panorama situacional em que se encontra esta meta no âmbito do Município de Paulo Bento. O indicador 2A, correspondente ao percentual da população de seis a quatorze anos que </w:t>
      </w:r>
      <w:proofErr w:type="spellStart"/>
      <w:r w:rsidRPr="00AF2347">
        <w:rPr>
          <w:rFonts w:ascii="Bookman Old Style" w:hAnsi="Bookman Old Style" w:cs="Times New Roman"/>
          <w:color w:val="000000" w:themeColor="text1"/>
          <w:sz w:val="24"/>
          <w:szCs w:val="24"/>
        </w:rPr>
        <w:t>frequenta</w:t>
      </w:r>
      <w:proofErr w:type="spellEnd"/>
      <w:r w:rsidRPr="00AF2347">
        <w:rPr>
          <w:rFonts w:ascii="Bookman Old Style" w:hAnsi="Bookman Old Style" w:cs="Times New Roman"/>
          <w:color w:val="000000" w:themeColor="text1"/>
          <w:sz w:val="24"/>
          <w:szCs w:val="24"/>
        </w:rPr>
        <w:t xml:space="preserve"> a escola, temos números satisfatórios, pois excedemos á meta prevista de 95%, entretanto no concernente ao indicador 2B, há ainda um longo caminho a ser percorrido para o alcance do percentual estipulado como meta, uma vez que no ano de 2016, tivemos 66,77 do total das pessoas com pelo menos dezesseis anos com o ensino fundamental completo. Estes dados levantados junto ao PNE em Movimento foram o balizador central para a elaboração do monitoramento desta Meta. No tangente ao indicador 2B, foi proposto pela equipe técnica no momento do monitoramento um alcance gradativo dos percentuais exigidos, para que consigamos ano a ano progredir, tendo uma previsão de alcance da meta proposta no ano de 2022, portanto antes do término da vigência do Plano.</w:t>
      </w:r>
    </w:p>
    <w:p w:rsidR="00B405E3" w:rsidRDefault="00B405E3" w:rsidP="00AF2347">
      <w:pPr>
        <w:pStyle w:val="PargrafodaLista"/>
        <w:ind w:left="0" w:firstLine="567"/>
        <w:jc w:val="both"/>
        <w:rPr>
          <w:rFonts w:ascii="Bookman Old Style" w:hAnsi="Bookman Old Style" w:cs="Times New Roman"/>
          <w:color w:val="000000" w:themeColor="text1"/>
          <w:sz w:val="24"/>
          <w:szCs w:val="24"/>
        </w:rPr>
      </w:pPr>
    </w:p>
    <w:p w:rsidR="00B405E3" w:rsidRDefault="00B405E3" w:rsidP="00AF2347">
      <w:pPr>
        <w:pStyle w:val="PargrafodaLista"/>
        <w:ind w:left="0" w:firstLine="567"/>
        <w:jc w:val="both"/>
        <w:rPr>
          <w:rFonts w:ascii="Bookman Old Style" w:hAnsi="Bookman Old Style" w:cs="Times New Roman"/>
          <w:color w:val="000000" w:themeColor="text1"/>
          <w:sz w:val="24"/>
          <w:szCs w:val="24"/>
        </w:rPr>
      </w:pPr>
    </w:p>
    <w:p w:rsidR="00B405E3" w:rsidRDefault="00B405E3" w:rsidP="00AF2347">
      <w:pPr>
        <w:pStyle w:val="PargrafodaLista"/>
        <w:ind w:left="0" w:firstLine="567"/>
        <w:jc w:val="both"/>
        <w:rPr>
          <w:rFonts w:ascii="Bookman Old Style" w:hAnsi="Bookman Old Style" w:cs="Times New Roman"/>
          <w:color w:val="000000" w:themeColor="text1"/>
          <w:sz w:val="24"/>
          <w:szCs w:val="24"/>
        </w:rPr>
      </w:pPr>
    </w:p>
    <w:p w:rsidR="00B405E3" w:rsidRDefault="00B405E3" w:rsidP="00AF2347">
      <w:pPr>
        <w:pStyle w:val="PargrafodaLista"/>
        <w:ind w:left="0" w:firstLine="567"/>
        <w:jc w:val="both"/>
        <w:rPr>
          <w:rFonts w:ascii="Bookman Old Style" w:hAnsi="Bookman Old Style" w:cs="Times New Roman"/>
          <w:color w:val="000000" w:themeColor="text1"/>
          <w:sz w:val="24"/>
          <w:szCs w:val="24"/>
        </w:rPr>
      </w:pP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0517F8" w:rsidRPr="00540B0B" w:rsidTr="00FE3A97">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0517F8" w:rsidRPr="00540B0B" w:rsidRDefault="000517F8" w:rsidP="00FE3A97">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lastRenderedPageBreak/>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0517F8" w:rsidRPr="00540B0B" w:rsidRDefault="000517F8" w:rsidP="00FE3A97">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0517F8" w:rsidRPr="00540B0B" w:rsidRDefault="000517F8" w:rsidP="00FE3A97">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0517F8" w:rsidRPr="00540B0B" w:rsidRDefault="000517F8" w:rsidP="00FE3A97">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0517F8" w:rsidRDefault="000517F8" w:rsidP="00FE3A97">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0517F8" w:rsidRPr="00540B0B" w:rsidRDefault="000517F8" w:rsidP="00FE3A9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Garantir, em regime de colaboração com a união, programas de atendimento aos alunos com dificuldades de alfabetização, por meio da instituição, com profissionais específicos e qualificados para este fim.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7C6C64"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Constituir e fortalecer por meio da mantenedora, equipes multidisciplinares para atuar nas escolas como rede de apoio, com carga horária adequada às necessidades de cada comunidade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Promover e fortalecer a integração entre Conselho Tutelar, Centro de Referência de Assistência Social (CRAS), Secretaria Municipal de Saúde, e Ministério Público para </w:t>
            </w:r>
            <w:proofErr w:type="gramStart"/>
            <w:r w:rsidRPr="000517F8">
              <w:rPr>
                <w:rFonts w:ascii="Calibri" w:eastAsia="Times New Roman" w:hAnsi="Calibri" w:cs="Calibri"/>
                <w:color w:val="000000"/>
                <w:lang w:eastAsia="pt-BR"/>
              </w:rPr>
              <w:t>agilizar</w:t>
            </w:r>
            <w:proofErr w:type="gramEnd"/>
            <w:r w:rsidRPr="000517F8">
              <w:rPr>
                <w:rFonts w:ascii="Calibri" w:eastAsia="Times New Roman" w:hAnsi="Calibri" w:cs="Calibri"/>
                <w:color w:val="000000"/>
                <w:lang w:eastAsia="pt-BR"/>
              </w:rPr>
              <w:t xml:space="preserve"> os encaminhamentos quanto à negligência, orientação familiar e busca ativa de crianças fora da escola.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anualmente</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 Criar, efetivar e fortalecer mecanismos para o acompanhamento individual de cada estudante do ensino fundamental, com distorção idade/série e com dificuldades de aprendizagem.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 100% em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 atentar para planejamento da Secretaria de Educação e Escolas do Sistema Municipal de Ensino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Realizada </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Fortalecer e mobilizar, após o encaminhamento da escola dos alunos com necessidade de atendimentos, a atuação dos órgãos competentes, das áreas sociais da assistência e saúde, para inclusão e permanência escolar, bem como responsabilizar os pais ou responsáveis quanto à </w:t>
            </w:r>
            <w:proofErr w:type="spellStart"/>
            <w:r w:rsidRPr="000517F8">
              <w:rPr>
                <w:rFonts w:ascii="Calibri" w:eastAsia="Times New Roman" w:hAnsi="Calibri" w:cs="Calibri"/>
                <w:color w:val="000000"/>
                <w:lang w:eastAsia="pt-BR"/>
              </w:rPr>
              <w:t>infrequência</w:t>
            </w:r>
            <w:proofErr w:type="spellEnd"/>
            <w:r w:rsidRPr="000517F8">
              <w:rPr>
                <w:rFonts w:ascii="Calibri" w:eastAsia="Times New Roman" w:hAnsi="Calibri" w:cs="Calibri"/>
                <w:color w:val="000000"/>
                <w:lang w:eastAsia="pt-BR"/>
              </w:rPr>
              <w:t xml:space="preserve"> dos alunos.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 100% em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 atentar para planejamento da Secretaria de Educação e Escolas do Sistema Municipal de Ensino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lastRenderedPageBreak/>
              <w:t>2.6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 Garantir políticas para a identificação e superação de todas as formas de violência física, moral e simbólica na escola, inclusive nos conteúdos e práticas pedagógicas, favorecendo a criação de uma cultura de paz em um ambiente dotado de segurança para a comunidade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 100% em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 atentar para planejamento da Secretaria de Educação e Escolas do Sistema Municipal de Ensino e Comunidade Escolar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Manter transporte escolar, gratuito e de qualidade para o estudante do campo.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 100% em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Plano Plurianual: 2014/2017 - Lei Orçamentária Anual: 2017 e Lei das Diretrizes Orçamentárias: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Participar do programa nacional de reestruturação e aquisição de equipamentos para as escolas do campo e do meio urbano.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Plano Plurianual: 2014/2017 - Lei Orçamentária Anual: </w:t>
            </w:r>
            <w:proofErr w:type="gramStart"/>
            <w:r w:rsidRPr="000517F8">
              <w:rPr>
                <w:rFonts w:ascii="Calibri" w:eastAsia="Times New Roman" w:hAnsi="Calibri" w:cs="Calibri"/>
                <w:color w:val="000000"/>
                <w:lang w:eastAsia="pt-BR"/>
              </w:rPr>
              <w:t>2017 ,</w:t>
            </w:r>
            <w:proofErr w:type="gramEnd"/>
            <w:r w:rsidRPr="000517F8">
              <w:rPr>
                <w:rFonts w:ascii="Calibri" w:eastAsia="Times New Roman" w:hAnsi="Calibri" w:cs="Calibri"/>
                <w:color w:val="000000"/>
                <w:lang w:eastAsia="pt-BR"/>
              </w:rPr>
              <w:t xml:space="preserve"> Lei das Diretrizes Orçamentárias: 2017 e Plano de Ações Articuladas - PAR </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Garantir em regime de colaboração com a união à oferta dos anos iniciais e finais do ensino fundamental para as populações do campo, nas próprias comunidades rurais.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2.10</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Implantar em regime de colaboração com o estado e a união, programa de prática esportiva, priorizando a construção de centros esportivos, em pontos estratégicos do município, para o desenvolvimento de habilidades, visando estimular as potencialidades físicas nas diferentes modalidades esportivas.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Universalizar em regime de colaboração com o estado e a união o acesso à rede mundial de computadores em banda larga de alta </w:t>
            </w:r>
            <w:r w:rsidRPr="000517F8">
              <w:rPr>
                <w:rFonts w:ascii="Calibri" w:eastAsia="Times New Roman" w:hAnsi="Calibri" w:cs="Calibri"/>
                <w:color w:val="000000"/>
                <w:lang w:eastAsia="pt-BR"/>
              </w:rPr>
              <w:lastRenderedPageBreak/>
              <w:t>velocidade e aumentar a relação computadores/estudantes nas escolas da rede pública de educação básica, por meio da capacitação dos professores e do acompanhamento de profissionais da área, garantindo equipamentos em quantidade compatível com o número de estudantes, promovendo a utilização pedagógica das tecnologias da informação e da comunicação.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lastRenderedPageBreak/>
              <w:t>Anos 2018, 50%, 2020 50%</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Plano Plurianual: 2014/2017 - Lei Orçamentária Anual: 2017 e Lei </w:t>
            </w:r>
            <w:r w:rsidRPr="000517F8">
              <w:rPr>
                <w:rFonts w:ascii="Calibri" w:eastAsia="Times New Roman" w:hAnsi="Calibri" w:cs="Calibri"/>
                <w:color w:val="000000"/>
                <w:lang w:eastAsia="pt-BR"/>
              </w:rPr>
              <w:lastRenderedPageBreak/>
              <w:t>das Diretrizes Orçamentárias: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lastRenderedPageBreak/>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lastRenderedPageBreak/>
              <w:t>2.12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2.13. Garantir em regime de colaboração com o estado e a união, acessibilidade para os alunos com deficiência física, bem como disponibilizar profissionais de áreas específicas para estudantes com deficiência, transtornos globais do desenvolvimento e altas habilidades/</w:t>
            </w:r>
            <w:proofErr w:type="spellStart"/>
            <w:r w:rsidRPr="000517F8">
              <w:rPr>
                <w:rFonts w:ascii="Calibri" w:eastAsia="Times New Roman" w:hAnsi="Calibri" w:cs="Calibri"/>
                <w:color w:val="000000"/>
                <w:lang w:eastAsia="pt-BR"/>
              </w:rPr>
              <w:t>superdotação</w:t>
            </w:r>
            <w:proofErr w:type="spellEnd"/>
            <w:r w:rsidRPr="000517F8">
              <w:rPr>
                <w:rFonts w:ascii="Calibri" w:eastAsia="Times New Roman" w:hAnsi="Calibri" w:cs="Calibri"/>
                <w:color w:val="000000"/>
                <w:lang w:eastAsia="pt-BR"/>
              </w:rPr>
              <w:t>, bem como a disponibilidade de material didático e equipamentos necessários para desenvolver as atividades.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Anos 2018 30%, 2019 60%,</w:t>
            </w:r>
            <w:proofErr w:type="gramStart"/>
            <w:r w:rsidRPr="000517F8">
              <w:rPr>
                <w:rFonts w:ascii="Calibri" w:eastAsia="Times New Roman" w:hAnsi="Calibri" w:cs="Calibri"/>
                <w:color w:val="000000"/>
                <w:lang w:eastAsia="pt-BR"/>
              </w:rPr>
              <w:t xml:space="preserve">  </w:t>
            </w:r>
            <w:proofErr w:type="gramEnd"/>
            <w:r w:rsidRPr="000517F8">
              <w:rPr>
                <w:rFonts w:ascii="Calibri" w:eastAsia="Times New Roman" w:hAnsi="Calibri" w:cs="Calibri"/>
                <w:color w:val="000000"/>
                <w:lang w:eastAsia="pt-BR"/>
              </w:rPr>
              <w:t>2020 100%</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Não </w:t>
            </w:r>
            <w:proofErr w:type="spellStart"/>
            <w:r>
              <w:rPr>
                <w:rFonts w:ascii="Calibri" w:eastAsia="Times New Roman" w:hAnsi="Calibri" w:cs="Calibri"/>
                <w:color w:val="000000"/>
                <w:lang w:eastAsia="pt-BR"/>
              </w:rPr>
              <w:t>realziada</w:t>
            </w:r>
            <w:proofErr w:type="spellEnd"/>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Institucionalizar e manter, em regime de colaboração com a união programa nacional de ampliação e reestruturação das escolas públicas, por meio da instalação de quadras </w:t>
            </w:r>
            <w:proofErr w:type="gramStart"/>
            <w:r w:rsidRPr="000517F8">
              <w:rPr>
                <w:rFonts w:ascii="Calibri" w:eastAsia="Times New Roman" w:hAnsi="Calibri" w:cs="Calibri"/>
                <w:color w:val="000000"/>
                <w:lang w:eastAsia="pt-BR"/>
              </w:rPr>
              <w:t>poliesportivas(</w:t>
            </w:r>
            <w:proofErr w:type="gramEnd"/>
            <w:r w:rsidRPr="000517F8">
              <w:rPr>
                <w:rFonts w:ascii="Calibri" w:eastAsia="Times New Roman" w:hAnsi="Calibri" w:cs="Calibri"/>
                <w:color w:val="000000"/>
                <w:lang w:eastAsia="pt-BR"/>
              </w:rPr>
              <w:t>coberta), laboratórios, bibliotecas, auditórios, cozinhas, refeitórios, banheiros e outros equipamentos, bem como de produção de material didático e de formação de recursos humanos para a educação em tempo integral.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Plano Plurianual: 2014/2017 - Lei Orçamentária Anual: </w:t>
            </w:r>
            <w:proofErr w:type="gramStart"/>
            <w:r w:rsidRPr="000517F8">
              <w:rPr>
                <w:rFonts w:ascii="Calibri" w:eastAsia="Times New Roman" w:hAnsi="Calibri" w:cs="Calibri"/>
                <w:color w:val="000000"/>
                <w:lang w:eastAsia="pt-BR"/>
              </w:rPr>
              <w:t>2017 ,</w:t>
            </w:r>
            <w:proofErr w:type="gramEnd"/>
            <w:r w:rsidRPr="000517F8">
              <w:rPr>
                <w:rFonts w:ascii="Calibri" w:eastAsia="Times New Roman" w:hAnsi="Calibri" w:cs="Calibri"/>
                <w:color w:val="000000"/>
                <w:lang w:eastAsia="pt-BR"/>
              </w:rPr>
              <w:t xml:space="preserve"> Lei das Diretrizes Orçamentárias: 2017 e Plano de Ações Articuladas - PAR </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517F8" w:rsidRPr="000517F8" w:rsidTr="000517F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jc w:val="both"/>
              <w:rPr>
                <w:rFonts w:ascii="Calibri" w:eastAsia="Times New Roman" w:hAnsi="Calibri" w:cs="Calibri"/>
                <w:color w:val="000000"/>
                <w:lang w:eastAsia="pt-BR"/>
              </w:rPr>
            </w:pPr>
            <w:r w:rsidRPr="000517F8">
              <w:rPr>
                <w:rFonts w:ascii="Calibri" w:eastAsia="Times New Roman" w:hAnsi="Calibri" w:cs="Calibri"/>
                <w:color w:val="000000"/>
                <w:lang w:eastAsia="pt-BR"/>
              </w:rPr>
              <w:t>2.14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 xml:space="preserve">Elevar os níveis de aprendizagem, por meio da efetivação das diferentes estratégias previstas nas propostas pedagógicas e regimentos escolares, associadas à aprendizagem dos </w:t>
            </w:r>
            <w:proofErr w:type="spellStart"/>
            <w:r w:rsidRPr="000517F8">
              <w:rPr>
                <w:rFonts w:ascii="Calibri" w:eastAsia="Times New Roman" w:hAnsi="Calibri" w:cs="Calibri"/>
                <w:color w:val="000000"/>
                <w:lang w:eastAsia="pt-BR"/>
              </w:rPr>
              <w:t>educandos</w:t>
            </w:r>
            <w:proofErr w:type="spellEnd"/>
            <w:r w:rsidRPr="000517F8">
              <w:rPr>
                <w:rFonts w:ascii="Calibri" w:eastAsia="Times New Roman" w:hAnsi="Calibri" w:cs="Calibri"/>
                <w:color w:val="000000"/>
                <w:lang w:eastAsia="pt-BR"/>
              </w:rPr>
              <w:t xml:space="preserve"> e ao estabelecimento de metodologias de ensino, que considerem as especificidades dos </w:t>
            </w:r>
            <w:proofErr w:type="spellStart"/>
            <w:r w:rsidRPr="000517F8">
              <w:rPr>
                <w:rFonts w:ascii="Calibri" w:eastAsia="Times New Roman" w:hAnsi="Calibri" w:cs="Calibri"/>
                <w:color w:val="000000"/>
                <w:lang w:eastAsia="pt-BR"/>
              </w:rPr>
              <w:t>educandos</w:t>
            </w:r>
            <w:proofErr w:type="spellEnd"/>
            <w:r w:rsidRPr="000517F8">
              <w:rPr>
                <w:rFonts w:ascii="Calibri" w:eastAsia="Times New Roman" w:hAnsi="Calibri" w:cs="Calibri"/>
                <w:color w:val="000000"/>
                <w:lang w:eastAsia="pt-BR"/>
              </w:rPr>
              <w:t xml:space="preserve">, com a destinação de </w:t>
            </w:r>
            <w:r w:rsidRPr="000517F8">
              <w:rPr>
                <w:rFonts w:ascii="Calibri" w:eastAsia="Times New Roman" w:hAnsi="Calibri" w:cs="Calibri"/>
                <w:color w:val="000000"/>
                <w:lang w:eastAsia="pt-BR"/>
              </w:rPr>
              <w:lastRenderedPageBreak/>
              <w:t>recursos materiais e humanos pelas respectivas mantenedoras, garantindo transporte conforme critérios estabelecidos em lei.</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lastRenderedPageBreak/>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0517F8" w:rsidP="000517F8">
            <w:pPr>
              <w:spacing w:after="0" w:line="240" w:lineRule="auto"/>
              <w:rPr>
                <w:rFonts w:ascii="Calibri" w:eastAsia="Times New Roman" w:hAnsi="Calibri" w:cs="Calibri"/>
                <w:color w:val="000000"/>
                <w:lang w:eastAsia="pt-BR"/>
              </w:rPr>
            </w:pPr>
            <w:r w:rsidRPr="000517F8">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517F8" w:rsidRPr="000517F8" w:rsidRDefault="00FE3A97" w:rsidP="000517F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A02FF5" w:rsidRPr="00B3094D" w:rsidRDefault="00A02FF5" w:rsidP="00B43011">
      <w:pPr>
        <w:jc w:val="both"/>
        <w:rPr>
          <w:rFonts w:ascii="Bookman Old Style" w:hAnsi="Bookman Old Style" w:cs="Times New Roman"/>
          <w:color w:val="000000" w:themeColor="text1"/>
          <w:sz w:val="24"/>
          <w:szCs w:val="24"/>
        </w:rPr>
      </w:pPr>
    </w:p>
    <w:p w:rsidR="00FE3A97" w:rsidRPr="00FE3A97" w:rsidRDefault="00FE3A97" w:rsidP="00FE3A97">
      <w:pPr>
        <w:jc w:val="both"/>
        <w:rPr>
          <w:rFonts w:ascii="Bookman Old Style" w:hAnsi="Bookman Old Style" w:cs="Times New Roman"/>
          <w:b/>
          <w:color w:val="000000" w:themeColor="text1"/>
          <w:sz w:val="24"/>
          <w:szCs w:val="24"/>
        </w:rPr>
      </w:pPr>
      <w:r w:rsidRPr="00FE3A97">
        <w:rPr>
          <w:rFonts w:ascii="Bookman Old Style" w:hAnsi="Bookman Old Style" w:cs="Times New Roman"/>
          <w:b/>
          <w:color w:val="000000" w:themeColor="text1"/>
          <w:sz w:val="24"/>
          <w:szCs w:val="24"/>
        </w:rPr>
        <w:t>Conclusão a respeito da Meta:</w:t>
      </w:r>
    </w:p>
    <w:p w:rsidR="00FE3A97" w:rsidRPr="00FE3A97" w:rsidRDefault="00FE3A97" w:rsidP="00FE3A97">
      <w:pPr>
        <w:ind w:firstLine="567"/>
        <w:jc w:val="both"/>
        <w:rPr>
          <w:rFonts w:ascii="Bookman Old Style" w:hAnsi="Bookman Old Style" w:cs="Times New Roman"/>
          <w:color w:val="000000" w:themeColor="text1"/>
          <w:sz w:val="24"/>
          <w:szCs w:val="24"/>
        </w:rPr>
      </w:pPr>
      <w:r w:rsidRPr="00FE3A97">
        <w:rPr>
          <w:rFonts w:ascii="Bookman Old Style" w:hAnsi="Bookman Old Style" w:cs="Times New Roman"/>
          <w:color w:val="000000" w:themeColor="text1"/>
          <w:sz w:val="24"/>
          <w:szCs w:val="24"/>
        </w:rPr>
        <w:t xml:space="preserve">Os aspectos conclusivos com relação a esta meta apontam para uma atenção especial e urgente no que concerne ao alcançado no indicador 2B; correspondente ao percentual de pessoas de dezesseis anos com pelo menos o ensino fundamental concluído. Pois temos um desempenho aquém do esperado com índice alcançado de 66,77%, dos 95,8% propostos. Com relação ao indicador 2A, podemos inferir que este se encontra com um desempenho satisfatório, apenas a ressalvar que o objetivo final é neste ano de 2017, termos alcançado o percentual de 100% para ele. </w:t>
      </w:r>
    </w:p>
    <w:p w:rsidR="00ED0D14" w:rsidRDefault="00FE3A97" w:rsidP="00FE3A97">
      <w:pPr>
        <w:ind w:firstLine="567"/>
        <w:jc w:val="both"/>
        <w:rPr>
          <w:rFonts w:ascii="Bookman Old Style" w:hAnsi="Bookman Old Style" w:cs="Times New Roman"/>
          <w:color w:val="000000" w:themeColor="text1"/>
          <w:sz w:val="24"/>
          <w:szCs w:val="24"/>
        </w:rPr>
      </w:pPr>
      <w:r w:rsidRPr="00FE3A97">
        <w:rPr>
          <w:rFonts w:ascii="Bookman Old Style" w:hAnsi="Bookman Old Style" w:cs="Times New Roman"/>
          <w:color w:val="000000" w:themeColor="text1"/>
          <w:sz w:val="24"/>
          <w:szCs w:val="24"/>
        </w:rPr>
        <w:t>Vislumbramos como um grande desafio o alcance da meta proposta no indicador 2B, primeiramente por estarmos relativamente com números inferiores aos especificados como meta, mas também pela necessidade de atuar de forma articulada com o ensino fundamental ofertado pelo estado, uma vez que temos no Município uma escola estadual devidamente credenciada para o ensino fundamental.</w:t>
      </w:r>
    </w:p>
    <w:p w:rsidR="00FE3A97" w:rsidRPr="00B3094D" w:rsidRDefault="00FE3A97" w:rsidP="00FE3A97">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É importante frisarmos que os dados provenientes dos indicadores acima detalhados, são advindos do </w:t>
      </w:r>
      <w:r w:rsidR="000B22E0">
        <w:rPr>
          <w:rFonts w:ascii="Bookman Old Style" w:hAnsi="Bookman Old Style" w:cs="Times New Roman"/>
          <w:color w:val="000000" w:themeColor="text1"/>
          <w:sz w:val="24"/>
          <w:szCs w:val="24"/>
        </w:rPr>
        <w:t xml:space="preserve">Relatório Linha de Base do INEP, ano de 2014, inexistindo no Município fonte de dados mais atualizada e passível de utilização. </w:t>
      </w:r>
    </w:p>
    <w:p w:rsidR="00ED0D14" w:rsidRDefault="00ED0D14" w:rsidP="00B43011">
      <w:pPr>
        <w:jc w:val="both"/>
        <w:rPr>
          <w:rFonts w:ascii="Bookman Old Style" w:hAnsi="Bookman Old Style" w:cs="Times New Roman"/>
          <w:color w:val="000000" w:themeColor="text1"/>
          <w:sz w:val="24"/>
          <w:szCs w:val="24"/>
        </w:rPr>
      </w:pPr>
    </w:p>
    <w:p w:rsidR="00B405E3" w:rsidRDefault="00B405E3" w:rsidP="00B405E3">
      <w:pPr>
        <w:pStyle w:val="PargrafodaLista"/>
        <w:numPr>
          <w:ilvl w:val="0"/>
          <w:numId w:val="22"/>
        </w:numPr>
        <w:jc w:val="both"/>
        <w:rPr>
          <w:rFonts w:ascii="Bookman Old Style" w:hAnsi="Bookman Old Style" w:cs="Times New Roman"/>
          <w:b/>
          <w:color w:val="000000" w:themeColor="text1"/>
          <w:sz w:val="24"/>
          <w:szCs w:val="24"/>
        </w:rPr>
      </w:pPr>
      <w:r w:rsidRPr="00047456">
        <w:rPr>
          <w:rFonts w:ascii="Bookman Old Style" w:hAnsi="Bookman Old Style" w:cs="Times New Roman"/>
          <w:b/>
          <w:color w:val="000000" w:themeColor="text1"/>
          <w:sz w:val="24"/>
          <w:szCs w:val="24"/>
        </w:rPr>
        <w:t>Sugestão de Nova Redação da Meta:</w:t>
      </w:r>
    </w:p>
    <w:p w:rsidR="00B405E3" w:rsidRPr="00B405E3" w:rsidRDefault="00B405E3" w:rsidP="00B405E3">
      <w:pPr>
        <w:ind w:firstLine="567"/>
        <w:jc w:val="both"/>
        <w:rPr>
          <w:rFonts w:ascii="Bookman Old Style" w:hAnsi="Bookman Old Style" w:cs="Times New Roman"/>
          <w:i/>
          <w:color w:val="000000" w:themeColor="text1"/>
          <w:sz w:val="24"/>
          <w:szCs w:val="24"/>
        </w:rPr>
      </w:pPr>
      <w:r>
        <w:rPr>
          <w:rFonts w:ascii="Bookman Old Style" w:hAnsi="Bookman Old Style" w:cs="Times New Roman"/>
          <w:color w:val="000000" w:themeColor="text1"/>
          <w:sz w:val="24"/>
          <w:szCs w:val="24"/>
        </w:rPr>
        <w:t xml:space="preserve">Com relação </w:t>
      </w:r>
      <w:proofErr w:type="gramStart"/>
      <w:r>
        <w:rPr>
          <w:rFonts w:ascii="Bookman Old Style" w:hAnsi="Bookman Old Style" w:cs="Times New Roman"/>
          <w:color w:val="000000" w:themeColor="text1"/>
          <w:sz w:val="24"/>
          <w:szCs w:val="24"/>
        </w:rPr>
        <w:t>a</w:t>
      </w:r>
      <w:proofErr w:type="gramEnd"/>
      <w:r>
        <w:rPr>
          <w:rFonts w:ascii="Bookman Old Style" w:hAnsi="Bookman Old Style" w:cs="Times New Roman"/>
          <w:color w:val="000000" w:themeColor="text1"/>
          <w:sz w:val="24"/>
          <w:szCs w:val="24"/>
        </w:rPr>
        <w:t xml:space="preserve"> Meta nº. 02, após análise, e considerando que a</w:t>
      </w:r>
      <w:r w:rsidR="00A347B6">
        <w:rPr>
          <w:rFonts w:ascii="Bookman Old Style" w:hAnsi="Bookman Old Style" w:cs="Times New Roman"/>
          <w:color w:val="000000" w:themeColor="text1"/>
          <w:sz w:val="24"/>
          <w:szCs w:val="24"/>
        </w:rPr>
        <w:t xml:space="preserve"> sua redação</w:t>
      </w:r>
      <w:r>
        <w:rPr>
          <w:rFonts w:ascii="Bookman Old Style" w:hAnsi="Bookman Old Style" w:cs="Times New Roman"/>
          <w:color w:val="000000" w:themeColor="text1"/>
          <w:sz w:val="24"/>
          <w:szCs w:val="24"/>
        </w:rPr>
        <w:t xml:space="preserve"> não está em concordância com o PNE, propõe-se a seguinte </w:t>
      </w:r>
      <w:r w:rsidR="00A347B6">
        <w:rPr>
          <w:rFonts w:ascii="Bookman Old Style" w:hAnsi="Bookman Old Style" w:cs="Times New Roman"/>
          <w:color w:val="000000" w:themeColor="text1"/>
          <w:sz w:val="24"/>
          <w:szCs w:val="24"/>
        </w:rPr>
        <w:t>adequação a ser realizada na íntegra</w:t>
      </w:r>
      <w:r w:rsidRPr="00B405E3">
        <w:rPr>
          <w:rFonts w:ascii="Bookman Old Style" w:hAnsi="Bookman Old Style" w:cs="Times New Roman"/>
          <w:color w:val="000000" w:themeColor="text1"/>
          <w:sz w:val="24"/>
          <w:szCs w:val="24"/>
        </w:rPr>
        <w:t>:</w:t>
      </w:r>
    </w:p>
    <w:p w:rsidR="00B405E3" w:rsidRPr="00A347B6" w:rsidRDefault="00B405E3" w:rsidP="00B43011">
      <w:pPr>
        <w:jc w:val="both"/>
        <w:rPr>
          <w:rFonts w:ascii="Bookman Old Style" w:hAnsi="Bookman Old Style" w:cs="Times New Roman"/>
          <w:i/>
          <w:color w:val="000000" w:themeColor="text1"/>
          <w:sz w:val="24"/>
          <w:szCs w:val="24"/>
        </w:rPr>
      </w:pPr>
      <w:r w:rsidRPr="00A347B6">
        <w:rPr>
          <w:rFonts w:ascii="Bookman Old Style" w:hAnsi="Bookman Old Style" w:cs="Times New Roman"/>
          <w:i/>
          <w:color w:val="000000" w:themeColor="text1"/>
          <w:sz w:val="24"/>
          <w:szCs w:val="24"/>
        </w:rPr>
        <w:t xml:space="preserve">“Universalizar o ensino fundamental de </w:t>
      </w:r>
      <w:proofErr w:type="gramStart"/>
      <w:r w:rsidRPr="00A347B6">
        <w:rPr>
          <w:rFonts w:ascii="Bookman Old Style" w:hAnsi="Bookman Old Style" w:cs="Times New Roman"/>
          <w:i/>
          <w:color w:val="000000" w:themeColor="text1"/>
          <w:sz w:val="24"/>
          <w:szCs w:val="24"/>
        </w:rPr>
        <w:t>9</w:t>
      </w:r>
      <w:proofErr w:type="gramEnd"/>
      <w:r w:rsidRPr="00A347B6">
        <w:rPr>
          <w:rFonts w:ascii="Bookman Old Style" w:hAnsi="Bookman Old Style" w:cs="Times New Roman"/>
          <w:i/>
          <w:color w:val="000000" w:themeColor="text1"/>
          <w:sz w:val="24"/>
          <w:szCs w:val="24"/>
        </w:rPr>
        <w:t xml:space="preserve"> (nove) anos para toda a população de 6 (seis) a 14 (quatorze) anos e garantir que pelo menos 95% (noventa e cinco por cento) dos alunos concluam essa etapa na idade recomendada, </w:t>
      </w:r>
      <w:r w:rsidRPr="00A347B6">
        <w:rPr>
          <w:rFonts w:ascii="Bookman Old Style" w:hAnsi="Bookman Old Style" w:cs="Times New Roman"/>
          <w:i/>
          <w:color w:val="000000" w:themeColor="text1"/>
          <w:sz w:val="24"/>
          <w:szCs w:val="24"/>
          <w:highlight w:val="lightGray"/>
        </w:rPr>
        <w:t>até o último ano de vigência deste PNE.”</w:t>
      </w:r>
    </w:p>
    <w:p w:rsidR="00A347B6" w:rsidRPr="00B3094D" w:rsidRDefault="00A347B6" w:rsidP="00B43011">
      <w:pPr>
        <w:jc w:val="both"/>
        <w:rPr>
          <w:rFonts w:ascii="Bookman Old Style" w:hAnsi="Bookman Old Style" w:cs="Times New Roman"/>
          <w:color w:val="000000" w:themeColor="text1"/>
          <w:sz w:val="24"/>
          <w:szCs w:val="24"/>
        </w:rPr>
      </w:pPr>
    </w:p>
    <w:p w:rsidR="00F01C84" w:rsidRPr="00D81FEF" w:rsidRDefault="00216EAD" w:rsidP="00D81FEF">
      <w:pPr>
        <w:pStyle w:val="Ttulo1"/>
        <w:numPr>
          <w:ilvl w:val="0"/>
          <w:numId w:val="24"/>
        </w:numPr>
        <w:ind w:left="851" w:hanging="491"/>
        <w:rPr>
          <w:rFonts w:ascii="Bookman Old Style" w:hAnsi="Bookman Old Style"/>
          <w:color w:val="auto"/>
        </w:rPr>
      </w:pPr>
      <w:bookmarkStart w:id="6" w:name="_Toc497809472"/>
      <w:r w:rsidRPr="00D81FEF">
        <w:rPr>
          <w:rFonts w:ascii="Bookman Old Style" w:hAnsi="Bookman Old Style"/>
          <w:color w:val="auto"/>
        </w:rPr>
        <w:t>Meta sobre</w:t>
      </w:r>
      <w:r w:rsidR="00F01C84" w:rsidRPr="00D81FEF">
        <w:rPr>
          <w:rFonts w:ascii="Bookman Old Style" w:hAnsi="Bookman Old Style"/>
          <w:color w:val="auto"/>
        </w:rPr>
        <w:t xml:space="preserve"> Ensino Médio</w:t>
      </w:r>
      <w:bookmarkEnd w:id="6"/>
    </w:p>
    <w:p w:rsidR="00A158C9" w:rsidRPr="00B3094D" w:rsidRDefault="00D81FEF" w:rsidP="00D81FEF">
      <w:pPr>
        <w:pStyle w:val="PargrafodaLista"/>
        <w:tabs>
          <w:tab w:val="left" w:pos="6165"/>
        </w:tabs>
        <w:autoSpaceDE w:val="0"/>
        <w:autoSpaceDN w:val="0"/>
        <w:adjustRightInd w:val="0"/>
        <w:spacing w:after="0" w:line="240" w:lineRule="auto"/>
        <w:ind w:left="927"/>
        <w:rPr>
          <w:rFonts w:ascii="Bookman Old Style" w:hAnsi="Bookman Old Style" w:cs="Times New Roman"/>
          <w:b/>
          <w:color w:val="000000" w:themeColor="text1"/>
          <w:sz w:val="28"/>
          <w:szCs w:val="28"/>
        </w:rPr>
      </w:pPr>
      <w:r>
        <w:rPr>
          <w:rFonts w:ascii="Bookman Old Style" w:hAnsi="Bookman Old Style" w:cs="Times New Roman"/>
          <w:b/>
          <w:color w:val="000000" w:themeColor="text1"/>
          <w:sz w:val="28"/>
          <w:szCs w:val="28"/>
        </w:rPr>
        <w:tab/>
      </w:r>
    </w:p>
    <w:p w:rsidR="00F01C84" w:rsidRPr="00B3094D" w:rsidRDefault="00A158C9" w:rsidP="000B22E0">
      <w:pPr>
        <w:jc w:val="both"/>
        <w:rPr>
          <w:rFonts w:ascii="Bookman Old Style" w:hAnsi="Bookman Old Style" w:cs="Times New Roman"/>
          <w:b/>
          <w:color w:val="000000" w:themeColor="text1"/>
          <w:sz w:val="28"/>
          <w:szCs w:val="28"/>
        </w:rPr>
      </w:pPr>
      <w:r w:rsidRPr="00B3094D">
        <w:rPr>
          <w:rFonts w:ascii="Bookman Old Style" w:hAnsi="Bookman Old Style" w:cs="Times New Roman"/>
          <w:b/>
          <w:color w:val="000000" w:themeColor="text1"/>
          <w:sz w:val="24"/>
          <w:szCs w:val="24"/>
        </w:rPr>
        <w:t>Meta</w:t>
      </w:r>
      <w:r w:rsidR="000B22E0">
        <w:rPr>
          <w:rFonts w:ascii="Bookman Old Style" w:hAnsi="Bookman Old Style" w:cs="Times New Roman"/>
          <w:b/>
          <w:color w:val="000000" w:themeColor="text1"/>
          <w:sz w:val="24"/>
          <w:szCs w:val="24"/>
        </w:rPr>
        <w:t xml:space="preserve"> 03:</w:t>
      </w:r>
      <w:r w:rsidRPr="00B3094D">
        <w:rPr>
          <w:rFonts w:ascii="Bookman Old Style" w:hAnsi="Bookman Old Style" w:cs="Times New Roman"/>
          <w:b/>
          <w:color w:val="000000" w:themeColor="text1"/>
          <w:sz w:val="24"/>
          <w:szCs w:val="24"/>
        </w:rPr>
        <w:t xml:space="preserve"> </w:t>
      </w:r>
      <w:r w:rsidR="000B22E0" w:rsidRPr="000B22E0">
        <w:rPr>
          <w:rFonts w:ascii="Bookman Old Style" w:hAnsi="Bookman Old Style" w:cs="Times New Roman"/>
          <w:b/>
          <w:color w:val="000000" w:themeColor="text1"/>
          <w:sz w:val="24"/>
          <w:szCs w:val="24"/>
        </w:rPr>
        <w:t>Universalizar, até 2016, o atendimento escolar para toda a população de 15 a 17 anos e elevar, até o final do período de vigência deste PNE, a taxa líquida de matrícula no ensino médio para 85%.</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0B22E0" w:rsidRPr="00D049A9" w:rsidTr="00FB1E23">
        <w:trPr>
          <w:gridBefore w:val="1"/>
          <w:wBefore w:w="1456" w:type="dxa"/>
          <w:trHeight w:val="948"/>
        </w:trPr>
        <w:tc>
          <w:tcPr>
            <w:tcW w:w="1330" w:type="dxa"/>
            <w:vAlign w:val="center"/>
          </w:tcPr>
          <w:p w:rsidR="000B22E0" w:rsidRPr="00D049A9" w:rsidRDefault="000B22E0" w:rsidP="00FB1E23">
            <w:pPr>
              <w:rPr>
                <w:rFonts w:ascii="Bookman Old Style" w:hAnsi="Bookman Old Style" w:cs="Times New Roman"/>
                <w:color w:val="000000" w:themeColor="text1"/>
                <w:sz w:val="20"/>
                <w:szCs w:val="20"/>
              </w:rPr>
            </w:pPr>
          </w:p>
          <w:p w:rsidR="000B22E0"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3</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0B22E0" w:rsidRPr="00D049A9" w:rsidRDefault="000B22E0" w:rsidP="00FB1E23">
            <w:pPr>
              <w:jc w:val="center"/>
              <w:rPr>
                <w:rFonts w:ascii="Bookman Old Style" w:hAnsi="Bookman Old Style" w:cs="Times New Roman"/>
                <w:color w:val="000000" w:themeColor="text1"/>
                <w:sz w:val="20"/>
                <w:szCs w:val="20"/>
              </w:rPr>
            </w:pPr>
          </w:p>
        </w:tc>
        <w:tc>
          <w:tcPr>
            <w:tcW w:w="7640" w:type="dxa"/>
            <w:gridSpan w:val="3"/>
            <w:vAlign w:val="center"/>
          </w:tcPr>
          <w:p w:rsidR="000B22E0" w:rsidRPr="00D049A9" w:rsidRDefault="000B22E0" w:rsidP="00FB1E23">
            <w:pPr>
              <w:jc w:val="center"/>
              <w:rPr>
                <w:rFonts w:ascii="Bookman Old Style" w:hAnsi="Bookman Old Style" w:cs="Times New Roman"/>
                <w:b/>
                <w:color w:val="000000" w:themeColor="text1"/>
                <w:sz w:val="20"/>
                <w:szCs w:val="20"/>
              </w:rPr>
            </w:pPr>
            <w:r w:rsidRPr="000B22E0">
              <w:rPr>
                <w:rFonts w:ascii="Bookman Old Style" w:hAnsi="Bookman Old Style" w:cs="Times New Roman"/>
                <w:b/>
                <w:color w:val="000000" w:themeColor="text1"/>
                <w:sz w:val="20"/>
                <w:szCs w:val="20"/>
              </w:rPr>
              <w:t xml:space="preserve">Percentual da população de 15 a 17 anos que </w:t>
            </w:r>
            <w:proofErr w:type="spellStart"/>
            <w:r w:rsidRPr="000B22E0">
              <w:rPr>
                <w:rFonts w:ascii="Bookman Old Style" w:hAnsi="Bookman Old Style" w:cs="Times New Roman"/>
                <w:b/>
                <w:color w:val="000000" w:themeColor="text1"/>
                <w:sz w:val="20"/>
                <w:szCs w:val="20"/>
              </w:rPr>
              <w:t>frequenta</w:t>
            </w:r>
            <w:proofErr w:type="spellEnd"/>
            <w:r w:rsidRPr="000B22E0">
              <w:rPr>
                <w:rFonts w:ascii="Bookman Old Style" w:hAnsi="Bookman Old Style" w:cs="Times New Roman"/>
                <w:b/>
                <w:color w:val="000000" w:themeColor="text1"/>
                <w:sz w:val="20"/>
                <w:szCs w:val="20"/>
              </w:rPr>
              <w:t xml:space="preserve"> a escola.</w:t>
            </w:r>
          </w:p>
        </w:tc>
      </w:tr>
      <w:tr w:rsidR="000B22E0" w:rsidRPr="00D049A9" w:rsidTr="00FB1E23">
        <w:tblPrEx>
          <w:tblCellMar>
            <w:left w:w="108" w:type="dxa"/>
            <w:right w:w="108" w:type="dxa"/>
          </w:tblCellMar>
          <w:tblLook w:val="04A0"/>
        </w:tblPrEx>
        <w:trPr>
          <w:gridBefore w:val="1"/>
          <w:wBefore w:w="1456" w:type="dxa"/>
          <w:trHeight w:val="325"/>
        </w:trPr>
        <w:tc>
          <w:tcPr>
            <w:tcW w:w="1330" w:type="dxa"/>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0B22E0" w:rsidRPr="00D049A9" w:rsidTr="00FB1E23">
        <w:trPr>
          <w:trHeight w:val="284"/>
        </w:trPr>
        <w:tc>
          <w:tcPr>
            <w:tcW w:w="1456" w:type="dxa"/>
            <w:vMerge w:val="restart"/>
            <w:tcBorders>
              <w:top w:val="nil"/>
              <w:left w:val="nil"/>
              <w:bottom w:val="nil"/>
            </w:tcBorders>
            <w:shd w:val="clear" w:color="auto" w:fill="auto"/>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330" w:type="dxa"/>
            <w:vMerge w:val="restart"/>
            <w:vAlign w:val="center"/>
          </w:tcPr>
          <w:p w:rsidR="000B22E0" w:rsidRPr="00D049A9" w:rsidRDefault="000B22E0" w:rsidP="00FB1E23">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88,70 </w:t>
            </w:r>
            <w:r w:rsidRPr="00D049A9">
              <w:rPr>
                <w:rFonts w:ascii="Bookman Old Style" w:hAnsi="Bookman Old Style" w:cs="Times New Roman"/>
                <w:b/>
                <w:color w:val="000000" w:themeColor="text1"/>
                <w:sz w:val="20"/>
                <w:szCs w:val="20"/>
              </w:rPr>
              <w:t>%</w:t>
            </w:r>
          </w:p>
        </w:tc>
        <w:tc>
          <w:tcPr>
            <w:tcW w:w="4649" w:type="dxa"/>
            <w:vAlign w:val="center"/>
          </w:tcPr>
          <w:p w:rsidR="000B22E0" w:rsidRPr="00D049A9" w:rsidRDefault="000B22E0" w:rsidP="00FB1E23">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0B22E0" w:rsidRPr="00D049A9" w:rsidTr="00FB1E23">
        <w:trPr>
          <w:trHeight w:val="284"/>
        </w:trPr>
        <w:tc>
          <w:tcPr>
            <w:tcW w:w="1456" w:type="dxa"/>
            <w:vMerge/>
            <w:tcBorders>
              <w:left w:val="nil"/>
              <w:bottom w:val="nil"/>
            </w:tcBorders>
            <w:shd w:val="clear" w:color="auto" w:fill="auto"/>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330" w:type="dxa"/>
            <w:vMerge/>
            <w:vAlign w:val="center"/>
          </w:tcPr>
          <w:p w:rsidR="000B22E0" w:rsidRPr="00D049A9" w:rsidRDefault="000B22E0" w:rsidP="00FB1E23">
            <w:pPr>
              <w:jc w:val="center"/>
              <w:rPr>
                <w:rFonts w:ascii="Bookman Old Style" w:hAnsi="Bookman Old Style" w:cs="Times New Roman"/>
                <w:b/>
                <w:color w:val="000000" w:themeColor="text1"/>
                <w:sz w:val="20"/>
                <w:szCs w:val="20"/>
              </w:rPr>
            </w:pPr>
          </w:p>
        </w:tc>
        <w:tc>
          <w:tcPr>
            <w:tcW w:w="1292" w:type="dxa"/>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69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p>
        </w:tc>
        <w:tc>
          <w:tcPr>
            <w:tcW w:w="4649" w:type="dxa"/>
            <w:vAlign w:val="center"/>
          </w:tcPr>
          <w:p w:rsidR="000B22E0" w:rsidRPr="00D049A9" w:rsidRDefault="000B22E0" w:rsidP="00FB1E23">
            <w:pPr>
              <w:jc w:val="both"/>
              <w:rPr>
                <w:rFonts w:ascii="Bookman Old Style" w:hAnsi="Bookman Old Style" w:cs="Times New Roman"/>
                <w:color w:val="000000" w:themeColor="text1"/>
                <w:sz w:val="20"/>
                <w:szCs w:val="20"/>
              </w:rPr>
            </w:pPr>
          </w:p>
        </w:tc>
      </w:tr>
    </w:tbl>
    <w:p w:rsidR="00715B35" w:rsidRPr="00B3094D" w:rsidRDefault="00715B35" w:rsidP="00B43011">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0B22E0" w:rsidRPr="00D049A9" w:rsidTr="00FB1E23">
        <w:trPr>
          <w:gridBefore w:val="1"/>
          <w:wBefore w:w="1456" w:type="dxa"/>
          <w:trHeight w:val="948"/>
        </w:trPr>
        <w:tc>
          <w:tcPr>
            <w:tcW w:w="1330" w:type="dxa"/>
            <w:vAlign w:val="center"/>
          </w:tcPr>
          <w:p w:rsidR="000B22E0" w:rsidRPr="00D049A9" w:rsidRDefault="000B22E0" w:rsidP="00FB1E23">
            <w:pPr>
              <w:rPr>
                <w:rFonts w:ascii="Bookman Old Style" w:hAnsi="Bookman Old Style" w:cs="Times New Roman"/>
                <w:color w:val="000000" w:themeColor="text1"/>
                <w:sz w:val="20"/>
                <w:szCs w:val="20"/>
              </w:rPr>
            </w:pPr>
          </w:p>
          <w:p w:rsidR="000B22E0"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3</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0B22E0" w:rsidRPr="00D049A9" w:rsidRDefault="000B22E0" w:rsidP="00FB1E23">
            <w:pPr>
              <w:jc w:val="center"/>
              <w:rPr>
                <w:rFonts w:ascii="Bookman Old Style" w:hAnsi="Bookman Old Style" w:cs="Times New Roman"/>
                <w:color w:val="000000" w:themeColor="text1"/>
                <w:sz w:val="20"/>
                <w:szCs w:val="20"/>
              </w:rPr>
            </w:pPr>
          </w:p>
        </w:tc>
        <w:tc>
          <w:tcPr>
            <w:tcW w:w="7640" w:type="dxa"/>
            <w:gridSpan w:val="3"/>
            <w:vAlign w:val="center"/>
          </w:tcPr>
          <w:p w:rsidR="000B22E0" w:rsidRPr="00D049A9" w:rsidRDefault="000B22E0" w:rsidP="00FB1E23">
            <w:pPr>
              <w:jc w:val="center"/>
              <w:rPr>
                <w:rFonts w:ascii="Bookman Old Style" w:hAnsi="Bookman Old Style" w:cs="Times New Roman"/>
                <w:b/>
                <w:color w:val="000000" w:themeColor="text1"/>
                <w:sz w:val="20"/>
                <w:szCs w:val="20"/>
              </w:rPr>
            </w:pPr>
            <w:r w:rsidRPr="000B22E0">
              <w:rPr>
                <w:rFonts w:ascii="Bookman Old Style" w:hAnsi="Bookman Old Style" w:cs="Times New Roman"/>
                <w:b/>
                <w:color w:val="000000" w:themeColor="text1"/>
                <w:sz w:val="20"/>
                <w:szCs w:val="20"/>
              </w:rPr>
              <w:t>Taxa de escolarização líquida no ensino médio da população de 15 a 17 anos.</w:t>
            </w:r>
          </w:p>
        </w:tc>
      </w:tr>
      <w:tr w:rsidR="000B22E0" w:rsidRPr="00D049A9" w:rsidTr="00FB1E23">
        <w:tblPrEx>
          <w:tblCellMar>
            <w:left w:w="108" w:type="dxa"/>
            <w:right w:w="108" w:type="dxa"/>
          </w:tblCellMar>
          <w:tblLook w:val="04A0"/>
        </w:tblPrEx>
        <w:trPr>
          <w:gridBefore w:val="1"/>
          <w:wBefore w:w="1456" w:type="dxa"/>
          <w:trHeight w:val="325"/>
        </w:trPr>
        <w:tc>
          <w:tcPr>
            <w:tcW w:w="1330" w:type="dxa"/>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0B22E0" w:rsidRPr="00D049A9" w:rsidTr="00FB1E23">
        <w:trPr>
          <w:trHeight w:val="284"/>
        </w:trPr>
        <w:tc>
          <w:tcPr>
            <w:tcW w:w="1456" w:type="dxa"/>
            <w:vMerge w:val="restart"/>
            <w:tcBorders>
              <w:top w:val="nil"/>
              <w:left w:val="nil"/>
              <w:bottom w:val="nil"/>
            </w:tcBorders>
            <w:shd w:val="clear" w:color="auto" w:fill="auto"/>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330" w:type="dxa"/>
            <w:vMerge w:val="restart"/>
            <w:vAlign w:val="center"/>
          </w:tcPr>
          <w:p w:rsidR="000B22E0" w:rsidRPr="00D049A9" w:rsidRDefault="000B22E0" w:rsidP="00FB1E23">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0B22E0" w:rsidRPr="00D049A9" w:rsidRDefault="000B22E0" w:rsidP="00FB1E23">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59,10 </w:t>
            </w:r>
            <w:r w:rsidRPr="00D049A9">
              <w:rPr>
                <w:rFonts w:ascii="Bookman Old Style" w:hAnsi="Bookman Old Style" w:cs="Times New Roman"/>
                <w:b/>
                <w:color w:val="000000" w:themeColor="text1"/>
                <w:sz w:val="20"/>
                <w:szCs w:val="20"/>
              </w:rPr>
              <w:t>%</w:t>
            </w:r>
          </w:p>
        </w:tc>
        <w:tc>
          <w:tcPr>
            <w:tcW w:w="4649" w:type="dxa"/>
            <w:vAlign w:val="center"/>
          </w:tcPr>
          <w:p w:rsidR="000B22E0" w:rsidRPr="00D049A9" w:rsidRDefault="000B22E0" w:rsidP="00FB1E23">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0B22E0" w:rsidRPr="00D049A9" w:rsidTr="00FB1E23">
        <w:trPr>
          <w:trHeight w:val="284"/>
        </w:trPr>
        <w:tc>
          <w:tcPr>
            <w:tcW w:w="1456" w:type="dxa"/>
            <w:vMerge/>
            <w:tcBorders>
              <w:left w:val="nil"/>
              <w:bottom w:val="nil"/>
            </w:tcBorders>
            <w:shd w:val="clear" w:color="auto" w:fill="auto"/>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330" w:type="dxa"/>
            <w:vMerge/>
            <w:vAlign w:val="center"/>
          </w:tcPr>
          <w:p w:rsidR="000B22E0" w:rsidRPr="00D049A9" w:rsidRDefault="000B22E0" w:rsidP="00FB1E23">
            <w:pPr>
              <w:jc w:val="center"/>
              <w:rPr>
                <w:rFonts w:ascii="Bookman Old Style" w:hAnsi="Bookman Old Style" w:cs="Times New Roman"/>
                <w:b/>
                <w:color w:val="000000" w:themeColor="text1"/>
                <w:sz w:val="20"/>
                <w:szCs w:val="20"/>
              </w:rPr>
            </w:pPr>
          </w:p>
        </w:tc>
        <w:tc>
          <w:tcPr>
            <w:tcW w:w="1292" w:type="dxa"/>
            <w:vAlign w:val="center"/>
          </w:tcPr>
          <w:p w:rsidR="000B22E0" w:rsidRPr="00D049A9" w:rsidRDefault="000B22E0" w:rsidP="00FB1E23">
            <w:pPr>
              <w:jc w:val="center"/>
              <w:rPr>
                <w:rFonts w:ascii="Bookman Old Style" w:hAnsi="Bookman Old Style" w:cs="Times New Roman"/>
                <w:color w:val="000000" w:themeColor="text1"/>
                <w:sz w:val="20"/>
                <w:szCs w:val="20"/>
              </w:rPr>
            </w:pPr>
          </w:p>
        </w:tc>
        <w:tc>
          <w:tcPr>
            <w:tcW w:w="1699" w:type="dxa"/>
            <w:vAlign w:val="center"/>
          </w:tcPr>
          <w:p w:rsidR="000B22E0" w:rsidRPr="00D049A9" w:rsidRDefault="000B22E0" w:rsidP="00FB1E23">
            <w:pPr>
              <w:jc w:val="center"/>
              <w:rPr>
                <w:rFonts w:ascii="Bookman Old Style" w:hAnsi="Bookman Old Style" w:cs="Times New Roman"/>
                <w:b/>
                <w:color w:val="000000" w:themeColor="text1"/>
                <w:sz w:val="20"/>
                <w:szCs w:val="20"/>
              </w:rPr>
            </w:pPr>
          </w:p>
        </w:tc>
        <w:tc>
          <w:tcPr>
            <w:tcW w:w="4649" w:type="dxa"/>
            <w:vAlign w:val="center"/>
          </w:tcPr>
          <w:p w:rsidR="000B22E0" w:rsidRPr="00D049A9" w:rsidRDefault="000B22E0" w:rsidP="00FB1E23">
            <w:pPr>
              <w:jc w:val="both"/>
              <w:rPr>
                <w:rFonts w:ascii="Bookman Old Style" w:hAnsi="Bookman Old Style" w:cs="Times New Roman"/>
                <w:color w:val="000000" w:themeColor="text1"/>
                <w:sz w:val="20"/>
                <w:szCs w:val="20"/>
              </w:rPr>
            </w:pPr>
          </w:p>
        </w:tc>
      </w:tr>
    </w:tbl>
    <w:p w:rsidR="00715B35" w:rsidRPr="00B3094D" w:rsidRDefault="00715B35" w:rsidP="00B43011">
      <w:pPr>
        <w:jc w:val="both"/>
        <w:rPr>
          <w:rFonts w:ascii="Bookman Old Style" w:hAnsi="Bookman Old Style" w:cs="Times New Roman"/>
          <w:color w:val="000000" w:themeColor="text1"/>
          <w:sz w:val="24"/>
          <w:szCs w:val="24"/>
        </w:rPr>
      </w:pPr>
    </w:p>
    <w:p w:rsidR="000B22E0" w:rsidRPr="000B22E0" w:rsidRDefault="000B22E0" w:rsidP="000B22E0">
      <w:pPr>
        <w:jc w:val="both"/>
        <w:rPr>
          <w:rFonts w:ascii="Bookman Old Style" w:hAnsi="Bookman Old Style" w:cs="Times New Roman"/>
          <w:b/>
          <w:color w:val="000000" w:themeColor="text1"/>
          <w:sz w:val="24"/>
          <w:szCs w:val="24"/>
        </w:rPr>
      </w:pPr>
      <w:r w:rsidRPr="000B22E0">
        <w:rPr>
          <w:rFonts w:ascii="Bookman Old Style" w:hAnsi="Bookman Old Style" w:cs="Times New Roman"/>
          <w:b/>
          <w:color w:val="000000" w:themeColor="text1"/>
          <w:sz w:val="24"/>
          <w:szCs w:val="24"/>
        </w:rPr>
        <w:t>Contextualização da Meta:</w:t>
      </w:r>
    </w:p>
    <w:p w:rsidR="000B22E0" w:rsidRPr="000B22E0" w:rsidRDefault="000B22E0" w:rsidP="000B22E0">
      <w:pPr>
        <w:ind w:firstLine="567"/>
        <w:jc w:val="both"/>
        <w:rPr>
          <w:rFonts w:ascii="Bookman Old Style" w:hAnsi="Bookman Old Style" w:cs="Times New Roman"/>
          <w:color w:val="000000" w:themeColor="text1"/>
          <w:sz w:val="24"/>
          <w:szCs w:val="24"/>
        </w:rPr>
      </w:pPr>
      <w:r w:rsidRPr="000B22E0">
        <w:rPr>
          <w:rFonts w:ascii="Bookman Old Style" w:hAnsi="Bookman Old Style" w:cs="Times New Roman"/>
          <w:color w:val="000000" w:themeColor="text1"/>
          <w:sz w:val="24"/>
          <w:szCs w:val="24"/>
        </w:rPr>
        <w:t xml:space="preserve">A Meta nº. 03 do Plano Municipal de Educação, consta a universalização do atendimento escolar para o ano de 2016 para toda a população de quinze (15) a dezessete (17) anos e elevar até o final da vigência do Plano a taxa líquida de matrícula do ensino médio para 85%. </w:t>
      </w:r>
      <w:r w:rsidRPr="000B22E0">
        <w:rPr>
          <w:rFonts w:ascii="Bookman Old Style" w:hAnsi="Bookman Old Style" w:cs="Times New Roman"/>
          <w:color w:val="000000" w:themeColor="text1"/>
          <w:sz w:val="24"/>
          <w:szCs w:val="24"/>
        </w:rPr>
        <w:lastRenderedPageBreak/>
        <w:t>Esta meta em se tratando de Paulo Bento abarca o ensino médio, contemplada pela Rede Estadual, uma vez que não é ofertada pelo Município.</w:t>
      </w:r>
    </w:p>
    <w:p w:rsidR="000B22E0" w:rsidRPr="000B22E0" w:rsidRDefault="000B22E0" w:rsidP="000B22E0">
      <w:pPr>
        <w:ind w:firstLine="567"/>
        <w:jc w:val="both"/>
        <w:rPr>
          <w:rFonts w:ascii="Bookman Old Style" w:hAnsi="Bookman Old Style" w:cs="Times New Roman"/>
          <w:color w:val="000000" w:themeColor="text1"/>
          <w:sz w:val="24"/>
          <w:szCs w:val="24"/>
        </w:rPr>
      </w:pPr>
      <w:r w:rsidRPr="000B22E0">
        <w:rPr>
          <w:rFonts w:ascii="Bookman Old Style" w:hAnsi="Bookman Old Style" w:cs="Times New Roman"/>
          <w:color w:val="000000" w:themeColor="text1"/>
          <w:sz w:val="24"/>
          <w:szCs w:val="24"/>
        </w:rPr>
        <w:t xml:space="preserve">Entretanto, apesar do Sistema Municipal de Ensino não ter escola credenciada para a oferta do ensino médio, sendo que esta modalidade é ofertada pela Rede Estadual, temos que elencar a relevância da qualificação e da permanência e conclusão dos alunos desta etapa. O ensino médio é uma etapa preparatória para o ingresso do estudante tanto na Universidade quanto no mercado de trabalho; e é de primordial importância que praticamente a totalidade da população de Paulo Bento com idades entre quinze (15) e dezessete (17) anos esteja matriculada e </w:t>
      </w:r>
      <w:proofErr w:type="spellStart"/>
      <w:r w:rsidRPr="000B22E0">
        <w:rPr>
          <w:rFonts w:ascii="Bookman Old Style" w:hAnsi="Bookman Old Style" w:cs="Times New Roman"/>
          <w:color w:val="000000" w:themeColor="text1"/>
          <w:sz w:val="24"/>
          <w:szCs w:val="24"/>
        </w:rPr>
        <w:t>frequentando</w:t>
      </w:r>
      <w:proofErr w:type="spellEnd"/>
      <w:r w:rsidRPr="000B22E0">
        <w:rPr>
          <w:rFonts w:ascii="Bookman Old Style" w:hAnsi="Bookman Old Style" w:cs="Times New Roman"/>
          <w:color w:val="000000" w:themeColor="text1"/>
          <w:sz w:val="24"/>
          <w:szCs w:val="24"/>
        </w:rPr>
        <w:t xml:space="preserve"> esta modalidade de ensino. A elevação do nível de conhecimento da população contribuirá significativamente para a construção de uma sociedade mais participativa, crítica e justa.</w:t>
      </w:r>
    </w:p>
    <w:p w:rsidR="000B22E0" w:rsidRPr="000B22E0" w:rsidRDefault="000B22E0" w:rsidP="000B22E0">
      <w:pPr>
        <w:jc w:val="both"/>
        <w:rPr>
          <w:rFonts w:ascii="Bookman Old Style" w:hAnsi="Bookman Old Style" w:cs="Times New Roman"/>
          <w:color w:val="000000" w:themeColor="text1"/>
          <w:sz w:val="24"/>
          <w:szCs w:val="24"/>
        </w:rPr>
      </w:pPr>
    </w:p>
    <w:p w:rsidR="000B22E0" w:rsidRPr="000B22E0" w:rsidRDefault="000B22E0" w:rsidP="000B22E0">
      <w:pPr>
        <w:jc w:val="both"/>
        <w:rPr>
          <w:rFonts w:ascii="Bookman Old Style" w:hAnsi="Bookman Old Style" w:cs="Times New Roman"/>
          <w:b/>
          <w:color w:val="000000" w:themeColor="text1"/>
          <w:sz w:val="24"/>
          <w:szCs w:val="24"/>
        </w:rPr>
      </w:pPr>
      <w:r w:rsidRPr="000B22E0">
        <w:rPr>
          <w:rFonts w:ascii="Bookman Old Style" w:hAnsi="Bookman Old Style" w:cs="Times New Roman"/>
          <w:b/>
          <w:color w:val="000000" w:themeColor="text1"/>
          <w:sz w:val="24"/>
          <w:szCs w:val="24"/>
        </w:rPr>
        <w:t>Sistematização e Análise dos Dados:</w:t>
      </w:r>
    </w:p>
    <w:p w:rsidR="000B22E0" w:rsidRPr="000B22E0" w:rsidRDefault="000B22E0" w:rsidP="000B22E0">
      <w:pPr>
        <w:jc w:val="both"/>
        <w:rPr>
          <w:rFonts w:ascii="Bookman Old Style" w:hAnsi="Bookman Old Style" w:cs="Times New Roman"/>
          <w:color w:val="000000" w:themeColor="text1"/>
          <w:sz w:val="24"/>
          <w:szCs w:val="24"/>
        </w:rPr>
      </w:pPr>
    </w:p>
    <w:p w:rsidR="000B22E0" w:rsidRPr="000B22E0" w:rsidRDefault="000B22E0" w:rsidP="000B22E0">
      <w:pPr>
        <w:ind w:firstLine="567"/>
        <w:jc w:val="both"/>
        <w:rPr>
          <w:rFonts w:ascii="Bookman Old Style" w:hAnsi="Bookman Old Style" w:cs="Times New Roman"/>
          <w:color w:val="000000" w:themeColor="text1"/>
          <w:sz w:val="24"/>
          <w:szCs w:val="24"/>
        </w:rPr>
      </w:pPr>
      <w:r w:rsidRPr="000B22E0">
        <w:rPr>
          <w:rFonts w:ascii="Bookman Old Style" w:hAnsi="Bookman Old Style" w:cs="Times New Roman"/>
          <w:color w:val="000000" w:themeColor="text1"/>
          <w:sz w:val="24"/>
          <w:szCs w:val="24"/>
        </w:rPr>
        <w:t xml:space="preserve">Os dados levados em conta para a elaboração do monitoramento desta meta tiveram a fonte no PNE em Movimento, onde foram sintetizados nos indicadores 3A (percentual da população de 15 a 17 anos que </w:t>
      </w:r>
      <w:proofErr w:type="spellStart"/>
      <w:r w:rsidRPr="000B22E0">
        <w:rPr>
          <w:rFonts w:ascii="Bookman Old Style" w:hAnsi="Bookman Old Style" w:cs="Times New Roman"/>
          <w:color w:val="000000" w:themeColor="text1"/>
          <w:sz w:val="24"/>
          <w:szCs w:val="24"/>
        </w:rPr>
        <w:t>frequenta</w:t>
      </w:r>
      <w:proofErr w:type="spellEnd"/>
      <w:r w:rsidRPr="000B22E0">
        <w:rPr>
          <w:rFonts w:ascii="Bookman Old Style" w:hAnsi="Bookman Old Style" w:cs="Times New Roman"/>
          <w:color w:val="000000" w:themeColor="text1"/>
          <w:sz w:val="24"/>
          <w:szCs w:val="24"/>
        </w:rPr>
        <w:t xml:space="preserve"> a escola) e 3B (taxa de escolarização líquida no ensino médio da população de 15 a 17 anos), conforme detalham e ilustram os gráficos abaixo.</w:t>
      </w:r>
    </w:p>
    <w:p w:rsidR="000B22E0" w:rsidRDefault="000B22E0" w:rsidP="000B22E0">
      <w:pPr>
        <w:jc w:val="center"/>
        <w:rPr>
          <w:rFonts w:ascii="Bookman Old Style" w:hAnsi="Bookman Old Style" w:cs="Times New Roman"/>
          <w:color w:val="000000" w:themeColor="text1"/>
          <w:sz w:val="24"/>
          <w:szCs w:val="24"/>
        </w:rPr>
      </w:pPr>
      <w:r w:rsidRPr="000B22E0">
        <w:rPr>
          <w:rFonts w:ascii="Bookman Old Style" w:hAnsi="Bookman Old Style" w:cs="Times New Roman"/>
          <w:noProof/>
          <w:color w:val="000000" w:themeColor="text1"/>
          <w:sz w:val="24"/>
          <w:szCs w:val="24"/>
          <w:lang w:eastAsia="pt-BR"/>
        </w:rPr>
        <w:lastRenderedPageBreak/>
        <w:drawing>
          <wp:inline distT="0" distB="0" distL="0" distR="0">
            <wp:extent cx="4648200" cy="2943225"/>
            <wp:effectExtent l="19050" t="0" r="19050" b="0"/>
            <wp:docPr id="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22E0" w:rsidRPr="000B22E0" w:rsidRDefault="000B22E0" w:rsidP="000B22E0">
      <w:pPr>
        <w:jc w:val="center"/>
        <w:rPr>
          <w:rFonts w:ascii="Bookman Old Style" w:hAnsi="Bookman Old Style" w:cs="Times New Roman"/>
          <w:color w:val="000000" w:themeColor="text1"/>
          <w:sz w:val="24"/>
          <w:szCs w:val="24"/>
        </w:rPr>
      </w:pPr>
      <w:r w:rsidRPr="000B22E0">
        <w:rPr>
          <w:rFonts w:ascii="Bookman Old Style" w:hAnsi="Bookman Old Style" w:cs="Times New Roman"/>
          <w:noProof/>
          <w:color w:val="000000" w:themeColor="text1"/>
          <w:sz w:val="24"/>
          <w:szCs w:val="24"/>
          <w:lang w:eastAsia="pt-BR"/>
        </w:rPr>
        <w:drawing>
          <wp:inline distT="0" distB="0" distL="0" distR="0">
            <wp:extent cx="4743450" cy="2943225"/>
            <wp:effectExtent l="19050" t="0" r="19050" b="0"/>
            <wp:docPr id="1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5B35" w:rsidRPr="00B3094D" w:rsidRDefault="000B22E0" w:rsidP="000B22E0">
      <w:pPr>
        <w:ind w:firstLine="567"/>
        <w:jc w:val="both"/>
        <w:rPr>
          <w:rFonts w:ascii="Bookman Old Style" w:hAnsi="Bookman Old Style" w:cs="Times New Roman"/>
          <w:color w:val="000000" w:themeColor="text1"/>
          <w:sz w:val="24"/>
          <w:szCs w:val="24"/>
        </w:rPr>
      </w:pPr>
      <w:r w:rsidRPr="000B22E0">
        <w:rPr>
          <w:rFonts w:ascii="Bookman Old Style" w:hAnsi="Bookman Old Style" w:cs="Times New Roman"/>
          <w:color w:val="000000" w:themeColor="text1"/>
          <w:sz w:val="24"/>
          <w:szCs w:val="24"/>
        </w:rPr>
        <w:t xml:space="preserve">Os dados obtidos no PNE em Movimento ilustrados nos gráficos retratam o panorama situacional referente à meta nº. 03 e os seus respectivos indicadores. Podemos perceber que com relação ao indicador </w:t>
      </w:r>
      <w:proofErr w:type="gramStart"/>
      <w:r w:rsidRPr="000B22E0">
        <w:rPr>
          <w:rFonts w:ascii="Bookman Old Style" w:hAnsi="Bookman Old Style" w:cs="Times New Roman"/>
          <w:color w:val="000000" w:themeColor="text1"/>
          <w:sz w:val="24"/>
          <w:szCs w:val="24"/>
        </w:rPr>
        <w:t>3</w:t>
      </w:r>
      <w:proofErr w:type="gramEnd"/>
      <w:r w:rsidRPr="000B22E0">
        <w:rPr>
          <w:rFonts w:ascii="Bookman Old Style" w:hAnsi="Bookman Old Style" w:cs="Times New Roman"/>
          <w:color w:val="000000" w:themeColor="text1"/>
          <w:sz w:val="24"/>
          <w:szCs w:val="24"/>
        </w:rPr>
        <w:t xml:space="preserve"> A o percentual da população de quinze (15) a dezessete (17) anos que </w:t>
      </w:r>
      <w:proofErr w:type="spellStart"/>
      <w:r w:rsidRPr="000B22E0">
        <w:rPr>
          <w:rFonts w:ascii="Bookman Old Style" w:hAnsi="Bookman Old Style" w:cs="Times New Roman"/>
          <w:color w:val="000000" w:themeColor="text1"/>
          <w:sz w:val="24"/>
          <w:szCs w:val="24"/>
        </w:rPr>
        <w:t>frequenta</w:t>
      </w:r>
      <w:proofErr w:type="spellEnd"/>
      <w:r w:rsidRPr="000B22E0">
        <w:rPr>
          <w:rFonts w:ascii="Bookman Old Style" w:hAnsi="Bookman Old Style" w:cs="Times New Roman"/>
          <w:color w:val="000000" w:themeColor="text1"/>
          <w:sz w:val="24"/>
          <w:szCs w:val="24"/>
        </w:rPr>
        <w:t xml:space="preserve"> a escola em 2016, foi de 88,7%, portanto abaixo do estipulado como meta (100%), porém balizamos como objetivo para o alcance, que sob a forma gradativa até o ano de  2018, obtenhamos os 100% previstos. No </w:t>
      </w:r>
      <w:r w:rsidRPr="000B22E0">
        <w:rPr>
          <w:rFonts w:ascii="Bookman Old Style" w:hAnsi="Bookman Old Style" w:cs="Times New Roman"/>
          <w:color w:val="000000" w:themeColor="text1"/>
          <w:sz w:val="24"/>
          <w:szCs w:val="24"/>
        </w:rPr>
        <w:lastRenderedPageBreak/>
        <w:t xml:space="preserve">indicador 3B podemos que explicita a taxa de escolarização líquida no ensino médio da população de 15 a 17 anos, podemos inferir que no ano de 2016, tivemos um resultado abaixo do pactuado como meta (100%), alcançado o percentual de 59,10%, prevemos então uma evolução gradativa </w:t>
      </w:r>
      <w:proofErr w:type="gramStart"/>
      <w:r w:rsidRPr="000B22E0">
        <w:rPr>
          <w:rFonts w:ascii="Bookman Old Style" w:hAnsi="Bookman Old Style" w:cs="Times New Roman"/>
          <w:color w:val="000000" w:themeColor="text1"/>
          <w:sz w:val="24"/>
          <w:szCs w:val="24"/>
        </w:rPr>
        <w:t>deste índices</w:t>
      </w:r>
      <w:proofErr w:type="gramEnd"/>
      <w:r w:rsidRPr="000B22E0">
        <w:rPr>
          <w:rFonts w:ascii="Bookman Old Style" w:hAnsi="Bookman Old Style" w:cs="Times New Roman"/>
          <w:color w:val="000000" w:themeColor="text1"/>
          <w:sz w:val="24"/>
          <w:szCs w:val="24"/>
        </w:rPr>
        <w:t xml:space="preserve"> até o final da vigência do Plano, que se dará em 2024. Portanto de acordo com o detalhado no diagnosticado teremos que ter uma evolução constante no indicador 3B, para podermos alcançar o objetivo no final da vigência do Plano.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FB1E23" w:rsidRPr="00540B0B" w:rsidTr="00FB1E23">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FB1E23" w:rsidRPr="00540B0B" w:rsidRDefault="00FB1E23" w:rsidP="00FB1E23">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FB1E23" w:rsidRPr="00540B0B" w:rsidRDefault="00FB1E23" w:rsidP="00FB1E23">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FB1E23" w:rsidRPr="00540B0B" w:rsidRDefault="00FB1E23" w:rsidP="00FB1E23">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FB1E23" w:rsidRPr="00540B0B" w:rsidRDefault="00FB1E23" w:rsidP="00FB1E23">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FB1E23" w:rsidRDefault="00FB1E23" w:rsidP="00FB1E23">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FB1E23" w:rsidRPr="00540B0B" w:rsidRDefault="00FB1E23"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Prever no regimento escolar a manutenção e ampliação de programas e ações de correção de fluxo do ensino fundamental, por meio do acompanhamento individualizado do estudante com rendimento escolar defasado com a adoção de práticas como aulas de apoio pedagógico no turno inverso, estudos de recuperação e progressão parcial, posicionando-o no ciclo escolar compatível com sua 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Trabalhar com a Matriz de Referência do Exame Nacional do Ensino Médio (ENEM) nos Planos de Estudos, em todas as áreas do conhecimento e utilizá-lo como critério de acesso à Educação Superior.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Fomentar a expansão das matrículas de ensino médio integrado à educação profissional, observando-se as áreas de interesse para o desenvolvimento social e econômico do município.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lastRenderedPageBreak/>
              <w:t>3.4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Fortalecer o acompanhamento e o monitoramento do acesso e da permanência na escola por parte dos beneficiários de programas de assistência social e transferência de renda, identificando motivos de ausência e baixa </w:t>
            </w:r>
            <w:proofErr w:type="spellStart"/>
            <w:r w:rsidRPr="00FB1E23">
              <w:rPr>
                <w:rFonts w:ascii="Calibri" w:eastAsia="Times New Roman" w:hAnsi="Calibri" w:cs="Calibri"/>
                <w:color w:val="000000"/>
                <w:lang w:eastAsia="pt-BR"/>
              </w:rPr>
              <w:t>frequência</w:t>
            </w:r>
            <w:proofErr w:type="spellEnd"/>
            <w:r w:rsidRPr="00FB1E23">
              <w:rPr>
                <w:rFonts w:ascii="Calibri" w:eastAsia="Times New Roman" w:hAnsi="Calibri" w:cs="Calibri"/>
                <w:color w:val="000000"/>
                <w:lang w:eastAsia="pt-BR"/>
              </w:rPr>
              <w:t xml:space="preserve"> e garantir, em regime de colaboração, a </w:t>
            </w:r>
            <w:proofErr w:type="spellStart"/>
            <w:r w:rsidRPr="00FB1E23">
              <w:rPr>
                <w:rFonts w:ascii="Calibri" w:eastAsia="Times New Roman" w:hAnsi="Calibri" w:cs="Calibri"/>
                <w:color w:val="000000"/>
                <w:lang w:eastAsia="pt-BR"/>
              </w:rPr>
              <w:t>frequência</w:t>
            </w:r>
            <w:proofErr w:type="spellEnd"/>
            <w:r w:rsidRPr="00FB1E23">
              <w:rPr>
                <w:rFonts w:ascii="Calibri" w:eastAsia="Times New Roman" w:hAnsi="Calibri" w:cs="Calibri"/>
                <w:color w:val="000000"/>
                <w:lang w:eastAsia="pt-BR"/>
              </w:rPr>
              <w:t xml:space="preserve"> e o apoio à aprendizagem.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50% em 2017 e 50% em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Promover a busca ativa da população de quinze a dezessete anos fora da escola, em parceria com as áreas da assistência social e da saúde.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50% em 2017 e 50% em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w:t>
            </w:r>
            <w:proofErr w:type="gramStart"/>
            <w:r w:rsidRPr="00FB1E23">
              <w:rPr>
                <w:rFonts w:ascii="Calibri" w:eastAsia="Times New Roman" w:hAnsi="Calibri" w:cs="Calibri"/>
                <w:color w:val="000000"/>
                <w:lang w:eastAsia="pt-BR"/>
              </w:rPr>
              <w:t>Implementar</w:t>
            </w:r>
            <w:proofErr w:type="gramEnd"/>
            <w:r w:rsidRPr="00FB1E23">
              <w:rPr>
                <w:rFonts w:ascii="Calibri" w:eastAsia="Times New Roman" w:hAnsi="Calibri" w:cs="Calibri"/>
                <w:color w:val="000000"/>
                <w:lang w:eastAsia="pt-BR"/>
              </w:rPr>
              <w:t xml:space="preserve"> políticas de prevenção à evasão motivada por preconceito e discriminação à orientação sexual ou à identidade de gênero, criando rede de proteção contra formas associadas de exclusão, com auxilio de profissionais especializados.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50% em 2017 e 50% em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Desenvolver programa de prevenção e combate à violência e à </w:t>
            </w:r>
            <w:proofErr w:type="spellStart"/>
            <w:r w:rsidRPr="00FB1E23">
              <w:rPr>
                <w:rFonts w:ascii="Calibri" w:eastAsia="Times New Roman" w:hAnsi="Calibri" w:cs="Calibri"/>
                <w:color w:val="000000"/>
                <w:lang w:eastAsia="pt-BR"/>
              </w:rPr>
              <w:t>drogadição</w:t>
            </w:r>
            <w:proofErr w:type="spellEnd"/>
            <w:r w:rsidRPr="00FB1E23">
              <w:rPr>
                <w:rFonts w:ascii="Calibri" w:eastAsia="Times New Roman" w:hAnsi="Calibri" w:cs="Calibri"/>
                <w:color w:val="000000"/>
                <w:lang w:eastAsia="pt-BR"/>
              </w:rPr>
              <w:t xml:space="preserve"> e orientações quanto à sexualidade.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Anual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DB0C0C">
        <w:trPr>
          <w:trHeight w:val="460"/>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t>3.8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Universalizar em regime de colaboração com ao estado e a união o acesso à rede mundial de computadores em banda larga de alta velocidade e aumentar a relação computadores/estudante nas escolas da rede pública de educação básica, promovendo a utilização pedagógica das tecnologias da informação e da comunicação nas escolas da rede pública de ensino médio, preferencialmente com auxilio de </w:t>
            </w:r>
            <w:r w:rsidRPr="00FB1E23">
              <w:rPr>
                <w:rFonts w:ascii="Calibri" w:eastAsia="Times New Roman" w:hAnsi="Calibri" w:cs="Calibri"/>
                <w:color w:val="000000"/>
                <w:lang w:eastAsia="pt-BR"/>
              </w:rPr>
              <w:lastRenderedPageBreak/>
              <w:t>profissionais especializados.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lastRenderedPageBreak/>
              <w:t xml:space="preserve">Anual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B1E23" w:rsidRPr="00FB1E23" w:rsidTr="00FB1E23">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jc w:val="both"/>
              <w:rPr>
                <w:rFonts w:ascii="Calibri" w:eastAsia="Times New Roman" w:hAnsi="Calibri" w:cs="Calibri"/>
                <w:color w:val="000000"/>
                <w:lang w:eastAsia="pt-BR"/>
              </w:rPr>
            </w:pPr>
            <w:r w:rsidRPr="00FB1E23">
              <w:rPr>
                <w:rFonts w:ascii="Calibri" w:eastAsia="Times New Roman" w:hAnsi="Calibri" w:cs="Calibri"/>
                <w:color w:val="000000"/>
                <w:lang w:eastAsia="pt-BR"/>
              </w:rPr>
              <w:lastRenderedPageBreak/>
              <w:t>3.9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 Estimular a participação dos adolescentes nos cursos das áreas tecnológicas e cientificas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 xml:space="preserve">Anual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FB1E23" w:rsidP="00FB1E23">
            <w:pPr>
              <w:spacing w:after="0" w:line="240" w:lineRule="auto"/>
              <w:rPr>
                <w:rFonts w:ascii="Calibri" w:eastAsia="Times New Roman" w:hAnsi="Calibri" w:cs="Calibri"/>
                <w:color w:val="000000"/>
                <w:lang w:eastAsia="pt-BR"/>
              </w:rPr>
            </w:pPr>
            <w:r w:rsidRPr="00FB1E23">
              <w:rPr>
                <w:rFonts w:ascii="Calibri" w:eastAsia="Times New Roman" w:hAnsi="Calibri" w:cs="Calibri"/>
                <w:color w:val="000000"/>
                <w:lang w:eastAsia="pt-BR"/>
              </w:rPr>
              <w:t>Não se Aplica - Observação: competência do Estado, modalidade de ensino não contemplada pelo Município.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B1E23" w:rsidRPr="00FB1E23" w:rsidRDefault="00DB0C0C" w:rsidP="00FB1E2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715B35" w:rsidRDefault="00715B35" w:rsidP="00B43011">
      <w:pPr>
        <w:jc w:val="both"/>
        <w:rPr>
          <w:rFonts w:ascii="Bookman Old Style" w:hAnsi="Bookman Old Style" w:cs="Times New Roman"/>
          <w:color w:val="000000" w:themeColor="text1"/>
          <w:sz w:val="24"/>
          <w:szCs w:val="24"/>
        </w:rPr>
      </w:pPr>
    </w:p>
    <w:p w:rsidR="00DB0C0C" w:rsidRPr="00DB0C0C" w:rsidRDefault="00DB0C0C" w:rsidP="00DB0C0C">
      <w:pPr>
        <w:jc w:val="both"/>
        <w:rPr>
          <w:rFonts w:ascii="Bookman Old Style" w:hAnsi="Bookman Old Style" w:cs="Times New Roman"/>
          <w:b/>
          <w:color w:val="000000" w:themeColor="text1"/>
          <w:sz w:val="24"/>
          <w:szCs w:val="24"/>
        </w:rPr>
      </w:pPr>
      <w:r w:rsidRPr="00DB0C0C">
        <w:rPr>
          <w:rFonts w:ascii="Bookman Old Style" w:hAnsi="Bookman Old Style" w:cs="Times New Roman"/>
          <w:b/>
          <w:color w:val="000000" w:themeColor="text1"/>
          <w:sz w:val="24"/>
          <w:szCs w:val="24"/>
        </w:rPr>
        <w:t>Conclusão a respeito da Meta:</w:t>
      </w:r>
    </w:p>
    <w:p w:rsidR="00DB0C0C" w:rsidRPr="00DB0C0C" w:rsidRDefault="00DB0C0C" w:rsidP="00DB0C0C">
      <w:pPr>
        <w:jc w:val="both"/>
        <w:rPr>
          <w:rFonts w:ascii="Bookman Old Style" w:hAnsi="Bookman Old Style" w:cs="Times New Roman"/>
          <w:color w:val="000000" w:themeColor="text1"/>
          <w:sz w:val="24"/>
          <w:szCs w:val="24"/>
        </w:rPr>
      </w:pPr>
    </w:p>
    <w:p w:rsidR="00DB0C0C" w:rsidRPr="00B3094D" w:rsidRDefault="00DB0C0C" w:rsidP="00DB0C0C">
      <w:pPr>
        <w:ind w:firstLine="567"/>
        <w:jc w:val="both"/>
        <w:rPr>
          <w:rFonts w:ascii="Bookman Old Style" w:hAnsi="Bookman Old Style" w:cs="Times New Roman"/>
          <w:color w:val="000000" w:themeColor="text1"/>
          <w:sz w:val="24"/>
          <w:szCs w:val="24"/>
        </w:rPr>
      </w:pPr>
      <w:r w:rsidRPr="00DB0C0C">
        <w:rPr>
          <w:rFonts w:ascii="Bookman Old Style" w:hAnsi="Bookman Old Style" w:cs="Times New Roman"/>
          <w:color w:val="000000" w:themeColor="text1"/>
          <w:sz w:val="24"/>
          <w:szCs w:val="24"/>
        </w:rPr>
        <w:t xml:space="preserve">Podemos inferir como aspectos conclusivos a esta meta, primeiramente que a modalidade de ensino é oferecida na Rede Estadual em nosso Município, na qual está vinculada à Secretaria de Estado da Educação, sob a fiscalização do Conselho Estadual de Educação. Entretanto a população reside no Município e, portanto também deve ser atendida pela municipalidade, desta forma deve-se atentar para a qualidade do ensino médio oferecido, dando uma ênfase especial a dois aspectos que podem ser articulados no âmbito do Município, já previstos no detalhamento da meta. O fortalecimento, acompanhamento e monitoramento do acesso da permanência na escola, por parte dos beneficiários de programas sociais, com vistas a identificar </w:t>
      </w:r>
      <w:proofErr w:type="gramStart"/>
      <w:r w:rsidRPr="00DB0C0C">
        <w:rPr>
          <w:rFonts w:ascii="Bookman Old Style" w:hAnsi="Bookman Old Style" w:cs="Times New Roman"/>
          <w:color w:val="000000" w:themeColor="text1"/>
          <w:sz w:val="24"/>
          <w:szCs w:val="24"/>
        </w:rPr>
        <w:t xml:space="preserve">a motivação da baixa </w:t>
      </w:r>
      <w:proofErr w:type="spellStart"/>
      <w:r w:rsidRPr="00DB0C0C">
        <w:rPr>
          <w:rFonts w:ascii="Bookman Old Style" w:hAnsi="Bookman Old Style" w:cs="Times New Roman"/>
          <w:color w:val="000000" w:themeColor="text1"/>
          <w:sz w:val="24"/>
          <w:szCs w:val="24"/>
        </w:rPr>
        <w:t>frequência</w:t>
      </w:r>
      <w:proofErr w:type="spellEnd"/>
      <w:r w:rsidRPr="00DB0C0C">
        <w:rPr>
          <w:rFonts w:ascii="Bookman Old Style" w:hAnsi="Bookman Old Style" w:cs="Times New Roman"/>
          <w:color w:val="000000" w:themeColor="text1"/>
          <w:sz w:val="24"/>
          <w:szCs w:val="24"/>
        </w:rPr>
        <w:t xml:space="preserve"> e em regime de colaboração com a Assistência Social promover o apoio a aprendizagem</w:t>
      </w:r>
      <w:proofErr w:type="gramEnd"/>
      <w:r w:rsidRPr="00DB0C0C">
        <w:rPr>
          <w:rFonts w:ascii="Bookman Old Style" w:hAnsi="Bookman Old Style" w:cs="Times New Roman"/>
          <w:color w:val="000000" w:themeColor="text1"/>
          <w:sz w:val="24"/>
          <w:szCs w:val="24"/>
        </w:rPr>
        <w:t>; implementar políticas de prevenção à evasão escolar, voltadas a discriminação e identificando a motivação.</w:t>
      </w:r>
    </w:p>
    <w:p w:rsidR="00A347B6" w:rsidRDefault="00A347B6" w:rsidP="00A347B6">
      <w:pPr>
        <w:pStyle w:val="PargrafodaLista"/>
        <w:numPr>
          <w:ilvl w:val="0"/>
          <w:numId w:val="22"/>
        </w:numPr>
        <w:jc w:val="both"/>
        <w:rPr>
          <w:rFonts w:ascii="Bookman Old Style" w:hAnsi="Bookman Old Style" w:cs="Times New Roman"/>
          <w:b/>
          <w:color w:val="000000" w:themeColor="text1"/>
          <w:sz w:val="24"/>
          <w:szCs w:val="24"/>
        </w:rPr>
      </w:pPr>
      <w:r w:rsidRPr="00047456">
        <w:rPr>
          <w:rFonts w:ascii="Bookman Old Style" w:hAnsi="Bookman Old Style" w:cs="Times New Roman"/>
          <w:b/>
          <w:color w:val="000000" w:themeColor="text1"/>
          <w:sz w:val="24"/>
          <w:szCs w:val="24"/>
        </w:rPr>
        <w:t>Sugestão de Nova Redação da Meta:</w:t>
      </w:r>
    </w:p>
    <w:p w:rsidR="00A347B6" w:rsidRPr="00B405E3" w:rsidRDefault="00A347B6" w:rsidP="00A347B6">
      <w:pPr>
        <w:ind w:firstLine="567"/>
        <w:jc w:val="both"/>
        <w:rPr>
          <w:rFonts w:ascii="Bookman Old Style" w:hAnsi="Bookman Old Style" w:cs="Times New Roman"/>
          <w:i/>
          <w:color w:val="000000" w:themeColor="text1"/>
          <w:sz w:val="24"/>
          <w:szCs w:val="24"/>
        </w:rPr>
      </w:pPr>
      <w:r>
        <w:rPr>
          <w:rFonts w:ascii="Bookman Old Style" w:hAnsi="Bookman Old Style" w:cs="Times New Roman"/>
          <w:color w:val="000000" w:themeColor="text1"/>
          <w:sz w:val="24"/>
          <w:szCs w:val="24"/>
        </w:rPr>
        <w:t>Com relação à Meta nº. 03, após análise, e considerando que a sua redação não está em concordância com o PNE, propõe-se a seguinte adequação a ser realizada na íntegra</w:t>
      </w:r>
      <w:r w:rsidRPr="00B405E3">
        <w:rPr>
          <w:rFonts w:ascii="Bookman Old Style" w:hAnsi="Bookman Old Style" w:cs="Times New Roman"/>
          <w:color w:val="000000" w:themeColor="text1"/>
          <w:sz w:val="24"/>
          <w:szCs w:val="24"/>
        </w:rPr>
        <w:t>:</w:t>
      </w:r>
    </w:p>
    <w:p w:rsidR="00715B35" w:rsidRPr="00A347B6" w:rsidRDefault="00A347B6" w:rsidP="00B43011">
      <w:pPr>
        <w:jc w:val="both"/>
        <w:rPr>
          <w:rFonts w:ascii="Bookman Old Style" w:hAnsi="Bookman Old Style" w:cs="Times New Roman"/>
          <w:i/>
          <w:color w:val="000000" w:themeColor="text1"/>
          <w:sz w:val="24"/>
          <w:szCs w:val="24"/>
        </w:rPr>
      </w:pPr>
      <w:r w:rsidRPr="00A347B6">
        <w:rPr>
          <w:rFonts w:ascii="Bookman Old Style" w:hAnsi="Bookman Old Style" w:cs="Times New Roman"/>
          <w:i/>
          <w:color w:val="000000" w:themeColor="text1"/>
          <w:sz w:val="24"/>
          <w:szCs w:val="24"/>
        </w:rPr>
        <w:t xml:space="preserve">“Universalizar, </w:t>
      </w:r>
      <w:r w:rsidRPr="00A347B6">
        <w:rPr>
          <w:rFonts w:ascii="Bookman Old Style" w:hAnsi="Bookman Old Style" w:cs="Times New Roman"/>
          <w:i/>
          <w:color w:val="000000" w:themeColor="text1"/>
          <w:sz w:val="24"/>
          <w:szCs w:val="24"/>
          <w:highlight w:val="lightGray"/>
        </w:rPr>
        <w:t>até 2016</w:t>
      </w:r>
      <w:r w:rsidRPr="00A347B6">
        <w:rPr>
          <w:rFonts w:ascii="Bookman Old Style" w:hAnsi="Bookman Old Style" w:cs="Times New Roman"/>
          <w:i/>
          <w:color w:val="000000" w:themeColor="text1"/>
          <w:sz w:val="24"/>
          <w:szCs w:val="24"/>
        </w:rPr>
        <w:t>, o atendimento escolar para toda a população de 15 (quinze) a 17 (dezessete) anos e elevar, até o final do período de vigência deste PNE, a taxa líquida de matrículas no ensino médio para 85% (oitenta e cinco por cento).”</w:t>
      </w:r>
    </w:p>
    <w:p w:rsidR="00F01C84" w:rsidRPr="00D81FEF" w:rsidRDefault="00F01C84" w:rsidP="00D81FEF">
      <w:pPr>
        <w:pStyle w:val="Ttulo1"/>
        <w:numPr>
          <w:ilvl w:val="0"/>
          <w:numId w:val="24"/>
        </w:numPr>
        <w:ind w:left="567" w:hanging="283"/>
        <w:rPr>
          <w:rFonts w:ascii="Bookman Old Style" w:hAnsi="Bookman Old Style"/>
          <w:color w:val="auto"/>
          <w:sz w:val="24"/>
          <w:szCs w:val="24"/>
        </w:rPr>
      </w:pPr>
      <w:bookmarkStart w:id="7" w:name="_Toc497809473"/>
      <w:r w:rsidRPr="00D81FEF">
        <w:rPr>
          <w:rFonts w:ascii="Bookman Old Style" w:hAnsi="Bookman Old Style"/>
          <w:color w:val="auto"/>
        </w:rPr>
        <w:lastRenderedPageBreak/>
        <w:t xml:space="preserve">Meta sobre </w:t>
      </w:r>
      <w:r w:rsidR="00216EAD" w:rsidRPr="00D81FEF">
        <w:rPr>
          <w:rFonts w:ascii="Bookman Old Style" w:hAnsi="Bookman Old Style"/>
          <w:color w:val="auto"/>
        </w:rPr>
        <w:t>Educação Especial/Inclusiva</w:t>
      </w:r>
      <w:bookmarkEnd w:id="7"/>
    </w:p>
    <w:p w:rsidR="002D3310" w:rsidRPr="00B3094D" w:rsidRDefault="002D3310" w:rsidP="00F01C84">
      <w:pPr>
        <w:pStyle w:val="PargrafodaLista"/>
        <w:rPr>
          <w:rFonts w:ascii="Bookman Old Style" w:hAnsi="Bookman Old Style" w:cs="Times New Roman"/>
          <w:b/>
          <w:color w:val="000000" w:themeColor="text1"/>
          <w:sz w:val="24"/>
          <w:szCs w:val="24"/>
        </w:rPr>
      </w:pPr>
    </w:p>
    <w:p w:rsidR="00A158C9" w:rsidRDefault="00A158C9" w:rsidP="00DB0C0C">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DB0C0C">
        <w:rPr>
          <w:rFonts w:ascii="Bookman Old Style" w:hAnsi="Bookman Old Style" w:cs="Times New Roman"/>
          <w:b/>
          <w:color w:val="000000" w:themeColor="text1"/>
          <w:sz w:val="24"/>
          <w:szCs w:val="24"/>
        </w:rPr>
        <w:t xml:space="preserve"> 04:</w:t>
      </w:r>
      <w:proofErr w:type="gramStart"/>
      <w:r w:rsidR="00DB0C0C">
        <w:rPr>
          <w:rFonts w:ascii="Bookman Old Style" w:hAnsi="Bookman Old Style" w:cs="Times New Roman"/>
          <w:b/>
          <w:color w:val="000000" w:themeColor="text1"/>
          <w:sz w:val="24"/>
          <w:szCs w:val="24"/>
        </w:rPr>
        <w:t xml:space="preserve"> </w:t>
      </w:r>
      <w:r w:rsidRPr="00B3094D">
        <w:rPr>
          <w:rFonts w:ascii="Bookman Old Style" w:hAnsi="Bookman Old Style" w:cs="Times New Roman"/>
          <w:b/>
          <w:color w:val="000000" w:themeColor="text1"/>
          <w:sz w:val="24"/>
          <w:szCs w:val="24"/>
        </w:rPr>
        <w:t xml:space="preserve"> </w:t>
      </w:r>
      <w:proofErr w:type="gramEnd"/>
      <w:r w:rsidR="00DB0C0C" w:rsidRPr="00DB0C0C">
        <w:rPr>
          <w:rFonts w:ascii="Bookman Old Style" w:hAnsi="Bookman Old Style" w:cs="Times New Roman"/>
          <w:b/>
          <w:color w:val="000000" w:themeColor="text1"/>
          <w:sz w:val="24"/>
          <w:szCs w:val="24"/>
        </w:rPr>
        <w:t xml:space="preserve">Universalizar, para a população de 4 a 17 anos, o atendimento escolar aos alunos com deficiência, transtornos globais do desenvolvimento e altas habilidades ou </w:t>
      </w:r>
      <w:proofErr w:type="spellStart"/>
      <w:r w:rsidR="00DB0C0C" w:rsidRPr="00DB0C0C">
        <w:rPr>
          <w:rFonts w:ascii="Bookman Old Style" w:hAnsi="Bookman Old Style" w:cs="Times New Roman"/>
          <w:b/>
          <w:color w:val="000000" w:themeColor="text1"/>
          <w:sz w:val="24"/>
          <w:szCs w:val="24"/>
        </w:rPr>
        <w:t>superdotação</w:t>
      </w:r>
      <w:proofErr w:type="spellEnd"/>
      <w:r w:rsidR="00DB0C0C" w:rsidRPr="00DB0C0C">
        <w:rPr>
          <w:rFonts w:ascii="Bookman Old Style" w:hAnsi="Bookman Old Style" w:cs="Times New Roman"/>
          <w:b/>
          <w:color w:val="000000" w:themeColor="text1"/>
          <w:sz w:val="24"/>
          <w:szCs w:val="24"/>
        </w:rPr>
        <w:t>, preferencialmente na rede regular de ensino, garantindo o atendimento educacional especializado em salas de recursos multifuncionais, classes, escolas ou serviços especializados, públicos ou comunitários, nas formas completar e suplementar, em escolas ou serviços especializados, públicos ou conveniados.</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DB0C0C" w:rsidRPr="00D049A9" w:rsidTr="00DB0C0C">
        <w:trPr>
          <w:gridBefore w:val="1"/>
          <w:wBefore w:w="1456" w:type="dxa"/>
          <w:trHeight w:val="948"/>
        </w:trPr>
        <w:tc>
          <w:tcPr>
            <w:tcW w:w="1330" w:type="dxa"/>
            <w:vAlign w:val="center"/>
          </w:tcPr>
          <w:p w:rsidR="00DB0C0C" w:rsidRPr="00D049A9" w:rsidRDefault="00DB0C0C" w:rsidP="00DB0C0C">
            <w:pPr>
              <w:rPr>
                <w:rFonts w:ascii="Bookman Old Style" w:hAnsi="Bookman Old Style" w:cs="Times New Roman"/>
                <w:color w:val="000000" w:themeColor="text1"/>
                <w:sz w:val="20"/>
                <w:szCs w:val="20"/>
              </w:rPr>
            </w:pPr>
          </w:p>
          <w:p w:rsidR="00DB0C0C"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4</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DB0C0C" w:rsidRPr="00D049A9" w:rsidRDefault="00DB0C0C" w:rsidP="00DB0C0C">
            <w:pPr>
              <w:jc w:val="center"/>
              <w:rPr>
                <w:rFonts w:ascii="Bookman Old Style" w:hAnsi="Bookman Old Style" w:cs="Times New Roman"/>
                <w:color w:val="000000" w:themeColor="text1"/>
                <w:sz w:val="20"/>
                <w:szCs w:val="20"/>
              </w:rPr>
            </w:pPr>
          </w:p>
        </w:tc>
        <w:tc>
          <w:tcPr>
            <w:tcW w:w="7640" w:type="dxa"/>
            <w:gridSpan w:val="3"/>
            <w:vAlign w:val="center"/>
          </w:tcPr>
          <w:p w:rsidR="00DB0C0C" w:rsidRPr="00D049A9" w:rsidRDefault="00DB0C0C" w:rsidP="00DB0C0C">
            <w:pPr>
              <w:jc w:val="center"/>
              <w:rPr>
                <w:rFonts w:ascii="Bookman Old Style" w:hAnsi="Bookman Old Style" w:cs="Times New Roman"/>
                <w:b/>
                <w:color w:val="000000" w:themeColor="text1"/>
                <w:sz w:val="20"/>
                <w:szCs w:val="20"/>
              </w:rPr>
            </w:pPr>
            <w:r w:rsidRPr="00DB0C0C">
              <w:rPr>
                <w:rFonts w:ascii="Bookman Old Style" w:hAnsi="Bookman Old Style" w:cs="Times New Roman"/>
                <w:b/>
                <w:color w:val="000000" w:themeColor="text1"/>
                <w:sz w:val="20"/>
                <w:szCs w:val="20"/>
              </w:rPr>
              <w:t xml:space="preserve">Percentual da população de 4 a 17 anos com deficiência que </w:t>
            </w:r>
            <w:proofErr w:type="spellStart"/>
            <w:r w:rsidRPr="00DB0C0C">
              <w:rPr>
                <w:rFonts w:ascii="Bookman Old Style" w:hAnsi="Bookman Old Style" w:cs="Times New Roman"/>
                <w:b/>
                <w:color w:val="000000" w:themeColor="text1"/>
                <w:sz w:val="20"/>
                <w:szCs w:val="20"/>
              </w:rPr>
              <w:t>frequenta</w:t>
            </w:r>
            <w:proofErr w:type="spellEnd"/>
            <w:r w:rsidRPr="00DB0C0C">
              <w:rPr>
                <w:rFonts w:ascii="Bookman Old Style" w:hAnsi="Bookman Old Style" w:cs="Times New Roman"/>
                <w:b/>
                <w:color w:val="000000" w:themeColor="text1"/>
                <w:sz w:val="20"/>
                <w:szCs w:val="20"/>
              </w:rPr>
              <w:t xml:space="preserve"> a escola.</w:t>
            </w:r>
          </w:p>
        </w:tc>
      </w:tr>
      <w:tr w:rsidR="00DB0C0C" w:rsidRPr="00D049A9" w:rsidTr="00DB0C0C">
        <w:tblPrEx>
          <w:tblCellMar>
            <w:left w:w="108" w:type="dxa"/>
            <w:right w:w="108" w:type="dxa"/>
          </w:tblCellMar>
          <w:tblLook w:val="04A0"/>
        </w:tblPrEx>
        <w:trPr>
          <w:gridBefore w:val="1"/>
          <w:wBefore w:w="1456" w:type="dxa"/>
          <w:trHeight w:val="325"/>
        </w:trPr>
        <w:tc>
          <w:tcPr>
            <w:tcW w:w="1330" w:type="dxa"/>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B0C0C" w:rsidRPr="00D049A9" w:rsidTr="00DB0C0C">
        <w:trPr>
          <w:trHeight w:val="284"/>
        </w:trPr>
        <w:tc>
          <w:tcPr>
            <w:tcW w:w="1456" w:type="dxa"/>
            <w:vMerge w:val="restart"/>
            <w:tcBorders>
              <w:top w:val="nil"/>
              <w:left w:val="nil"/>
              <w:bottom w:val="nil"/>
            </w:tcBorders>
            <w:shd w:val="clear" w:color="auto" w:fill="auto"/>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330" w:type="dxa"/>
            <w:vMerge w:val="restart"/>
            <w:vAlign w:val="center"/>
          </w:tcPr>
          <w:p w:rsidR="00DB0C0C" w:rsidRPr="00D049A9" w:rsidRDefault="00DB0C0C" w:rsidP="00DB0C0C">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79,40 </w:t>
            </w:r>
            <w:r w:rsidRPr="00D049A9">
              <w:rPr>
                <w:rFonts w:ascii="Bookman Old Style" w:hAnsi="Bookman Old Style" w:cs="Times New Roman"/>
                <w:b/>
                <w:color w:val="000000" w:themeColor="text1"/>
                <w:sz w:val="20"/>
                <w:szCs w:val="20"/>
              </w:rPr>
              <w:t>%</w:t>
            </w:r>
          </w:p>
        </w:tc>
        <w:tc>
          <w:tcPr>
            <w:tcW w:w="4649" w:type="dxa"/>
            <w:vAlign w:val="center"/>
          </w:tcPr>
          <w:p w:rsidR="00DB0C0C" w:rsidRPr="00D049A9" w:rsidRDefault="00DB0C0C" w:rsidP="00DB0C0C">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DB0C0C" w:rsidRPr="00D049A9" w:rsidTr="00DB0C0C">
        <w:trPr>
          <w:trHeight w:val="284"/>
        </w:trPr>
        <w:tc>
          <w:tcPr>
            <w:tcW w:w="1456" w:type="dxa"/>
            <w:vMerge/>
            <w:tcBorders>
              <w:left w:val="nil"/>
              <w:bottom w:val="nil"/>
            </w:tcBorders>
            <w:shd w:val="clear" w:color="auto" w:fill="auto"/>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330" w:type="dxa"/>
            <w:vMerge/>
            <w:vAlign w:val="center"/>
          </w:tcPr>
          <w:p w:rsidR="00DB0C0C" w:rsidRPr="00D049A9" w:rsidRDefault="00DB0C0C" w:rsidP="00DB0C0C">
            <w:pPr>
              <w:jc w:val="center"/>
              <w:rPr>
                <w:rFonts w:ascii="Bookman Old Style" w:hAnsi="Bookman Old Style" w:cs="Times New Roman"/>
                <w:b/>
                <w:color w:val="000000" w:themeColor="text1"/>
                <w:sz w:val="20"/>
                <w:szCs w:val="20"/>
              </w:rPr>
            </w:pPr>
          </w:p>
        </w:tc>
        <w:tc>
          <w:tcPr>
            <w:tcW w:w="1292" w:type="dxa"/>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69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p>
        </w:tc>
        <w:tc>
          <w:tcPr>
            <w:tcW w:w="4649" w:type="dxa"/>
            <w:vAlign w:val="center"/>
          </w:tcPr>
          <w:p w:rsidR="00DB0C0C" w:rsidRPr="00D049A9" w:rsidRDefault="00DB0C0C" w:rsidP="00DB0C0C">
            <w:pPr>
              <w:jc w:val="both"/>
              <w:rPr>
                <w:rFonts w:ascii="Bookman Old Style" w:hAnsi="Bookman Old Style" w:cs="Times New Roman"/>
                <w:color w:val="000000" w:themeColor="text1"/>
                <w:sz w:val="20"/>
                <w:szCs w:val="20"/>
              </w:rPr>
            </w:pPr>
          </w:p>
        </w:tc>
      </w:tr>
    </w:tbl>
    <w:p w:rsidR="00715B35" w:rsidRDefault="00715B35" w:rsidP="00B43011">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DB0C0C" w:rsidRPr="00D049A9" w:rsidTr="00DB0C0C">
        <w:trPr>
          <w:gridBefore w:val="1"/>
          <w:wBefore w:w="1456" w:type="dxa"/>
          <w:trHeight w:val="948"/>
        </w:trPr>
        <w:tc>
          <w:tcPr>
            <w:tcW w:w="1330" w:type="dxa"/>
            <w:vAlign w:val="center"/>
          </w:tcPr>
          <w:p w:rsidR="00DB0C0C" w:rsidRPr="00D049A9" w:rsidRDefault="00DB0C0C" w:rsidP="00DB0C0C">
            <w:pPr>
              <w:rPr>
                <w:rFonts w:ascii="Bookman Old Style" w:hAnsi="Bookman Old Style" w:cs="Times New Roman"/>
                <w:color w:val="000000" w:themeColor="text1"/>
                <w:sz w:val="20"/>
                <w:szCs w:val="20"/>
              </w:rPr>
            </w:pPr>
          </w:p>
          <w:p w:rsidR="00DB0C0C"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4</w:t>
            </w:r>
            <w:proofErr w:type="gramEnd"/>
            <w:r>
              <w:rPr>
                <w:rFonts w:ascii="Bookman Old Style" w:hAnsi="Bookman Old Style" w:cs="Times New Roman"/>
                <w:b/>
                <w:color w:val="000000" w:themeColor="text1"/>
                <w:sz w:val="20"/>
                <w:szCs w:val="20"/>
              </w:rPr>
              <w:t xml:space="preserve"> B</w:t>
            </w:r>
          </w:p>
          <w:p w:rsidR="00DB0C0C" w:rsidRPr="00D049A9" w:rsidRDefault="00DB0C0C" w:rsidP="00DB0C0C">
            <w:pPr>
              <w:jc w:val="center"/>
              <w:rPr>
                <w:rFonts w:ascii="Bookman Old Style" w:hAnsi="Bookman Old Style" w:cs="Times New Roman"/>
                <w:color w:val="000000" w:themeColor="text1"/>
                <w:sz w:val="20"/>
                <w:szCs w:val="20"/>
              </w:rPr>
            </w:pPr>
          </w:p>
        </w:tc>
        <w:tc>
          <w:tcPr>
            <w:tcW w:w="7640" w:type="dxa"/>
            <w:gridSpan w:val="3"/>
            <w:vAlign w:val="center"/>
          </w:tcPr>
          <w:p w:rsidR="00DB0C0C" w:rsidRPr="00D049A9" w:rsidRDefault="00DB0C0C" w:rsidP="00DB0C0C">
            <w:pPr>
              <w:jc w:val="center"/>
              <w:rPr>
                <w:rFonts w:ascii="Bookman Old Style" w:hAnsi="Bookman Old Style" w:cs="Times New Roman"/>
                <w:b/>
                <w:color w:val="000000" w:themeColor="text1"/>
                <w:sz w:val="20"/>
                <w:szCs w:val="20"/>
              </w:rPr>
            </w:pPr>
            <w:r w:rsidRPr="00DB0C0C">
              <w:rPr>
                <w:rFonts w:ascii="Bookman Old Style" w:hAnsi="Bookman Old Style" w:cs="Times New Roman"/>
                <w:b/>
                <w:color w:val="000000" w:themeColor="text1"/>
                <w:sz w:val="20"/>
                <w:szCs w:val="20"/>
              </w:rPr>
              <w:t xml:space="preserve">Percentual de matrículas em classes comuns do ensino regular e/ou EJA da educação básica de alunos de 4 a 17 anos de idade com deficiência, TGD e altas habilidades ou </w:t>
            </w:r>
            <w:proofErr w:type="spellStart"/>
            <w:r w:rsidRPr="00DB0C0C">
              <w:rPr>
                <w:rFonts w:ascii="Bookman Old Style" w:hAnsi="Bookman Old Style" w:cs="Times New Roman"/>
                <w:b/>
                <w:color w:val="000000" w:themeColor="text1"/>
                <w:sz w:val="20"/>
                <w:szCs w:val="20"/>
              </w:rPr>
              <w:t>superdotação</w:t>
            </w:r>
            <w:proofErr w:type="spellEnd"/>
            <w:r w:rsidRPr="00DB0C0C">
              <w:rPr>
                <w:rFonts w:ascii="Bookman Old Style" w:hAnsi="Bookman Old Style" w:cs="Times New Roman"/>
                <w:b/>
                <w:color w:val="000000" w:themeColor="text1"/>
                <w:sz w:val="20"/>
                <w:szCs w:val="20"/>
              </w:rPr>
              <w:t>.</w:t>
            </w:r>
          </w:p>
        </w:tc>
      </w:tr>
      <w:tr w:rsidR="00DB0C0C" w:rsidRPr="00D049A9" w:rsidTr="00DB0C0C">
        <w:tblPrEx>
          <w:tblCellMar>
            <w:left w:w="108" w:type="dxa"/>
            <w:right w:w="108" w:type="dxa"/>
          </w:tblCellMar>
          <w:tblLook w:val="04A0"/>
        </w:tblPrEx>
        <w:trPr>
          <w:gridBefore w:val="1"/>
          <w:wBefore w:w="1456" w:type="dxa"/>
          <w:trHeight w:val="325"/>
        </w:trPr>
        <w:tc>
          <w:tcPr>
            <w:tcW w:w="1330" w:type="dxa"/>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B0C0C" w:rsidRPr="00D049A9" w:rsidTr="00DB0C0C">
        <w:trPr>
          <w:trHeight w:val="284"/>
        </w:trPr>
        <w:tc>
          <w:tcPr>
            <w:tcW w:w="1456" w:type="dxa"/>
            <w:vMerge w:val="restart"/>
            <w:tcBorders>
              <w:top w:val="nil"/>
              <w:left w:val="nil"/>
              <w:bottom w:val="nil"/>
            </w:tcBorders>
            <w:shd w:val="clear" w:color="auto" w:fill="auto"/>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330" w:type="dxa"/>
            <w:vMerge w:val="restart"/>
            <w:vAlign w:val="center"/>
          </w:tcPr>
          <w:p w:rsidR="00DB0C0C" w:rsidRPr="00D049A9" w:rsidRDefault="00DB0C0C" w:rsidP="00DB0C0C">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r w:rsidRPr="00D049A9">
              <w:rPr>
                <w:rFonts w:ascii="Bookman Old Style" w:hAnsi="Bookman Old Style" w:cs="Times New Roman"/>
                <w:b/>
                <w:color w:val="000000" w:themeColor="text1"/>
                <w:sz w:val="20"/>
                <w:szCs w:val="20"/>
              </w:rPr>
              <w:t>%</w:t>
            </w:r>
          </w:p>
        </w:tc>
        <w:tc>
          <w:tcPr>
            <w:tcW w:w="1292" w:type="dxa"/>
            <w:vAlign w:val="center"/>
          </w:tcPr>
          <w:p w:rsidR="00DB0C0C" w:rsidRPr="00D049A9" w:rsidRDefault="00DB0C0C" w:rsidP="00DB0C0C">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100,00 </w:t>
            </w:r>
            <w:r w:rsidRPr="00D049A9">
              <w:rPr>
                <w:rFonts w:ascii="Bookman Old Style" w:hAnsi="Bookman Old Style" w:cs="Times New Roman"/>
                <w:b/>
                <w:color w:val="000000" w:themeColor="text1"/>
                <w:sz w:val="20"/>
                <w:szCs w:val="20"/>
              </w:rPr>
              <w:t>%</w:t>
            </w:r>
          </w:p>
        </w:tc>
        <w:tc>
          <w:tcPr>
            <w:tcW w:w="4649" w:type="dxa"/>
            <w:vAlign w:val="center"/>
          </w:tcPr>
          <w:p w:rsidR="00DB0C0C" w:rsidRPr="00D049A9" w:rsidRDefault="00DB0C0C" w:rsidP="00DB0C0C">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http://simec.mec.gov.br/pde/graficopne.php, acesso em dezembro de 2016. Relatório Linha de Base do INEP 2014.</w:t>
            </w:r>
          </w:p>
        </w:tc>
      </w:tr>
      <w:tr w:rsidR="00DB0C0C" w:rsidRPr="00D049A9" w:rsidTr="00DB0C0C">
        <w:trPr>
          <w:trHeight w:val="284"/>
        </w:trPr>
        <w:tc>
          <w:tcPr>
            <w:tcW w:w="1456" w:type="dxa"/>
            <w:vMerge/>
            <w:tcBorders>
              <w:left w:val="nil"/>
              <w:bottom w:val="nil"/>
            </w:tcBorders>
            <w:shd w:val="clear" w:color="auto" w:fill="auto"/>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330" w:type="dxa"/>
            <w:vMerge/>
            <w:vAlign w:val="center"/>
          </w:tcPr>
          <w:p w:rsidR="00DB0C0C" w:rsidRPr="00D049A9" w:rsidRDefault="00DB0C0C" w:rsidP="00DB0C0C">
            <w:pPr>
              <w:jc w:val="center"/>
              <w:rPr>
                <w:rFonts w:ascii="Bookman Old Style" w:hAnsi="Bookman Old Style" w:cs="Times New Roman"/>
                <w:b/>
                <w:color w:val="000000" w:themeColor="text1"/>
                <w:sz w:val="20"/>
                <w:szCs w:val="20"/>
              </w:rPr>
            </w:pPr>
          </w:p>
        </w:tc>
        <w:tc>
          <w:tcPr>
            <w:tcW w:w="1292" w:type="dxa"/>
            <w:vAlign w:val="center"/>
          </w:tcPr>
          <w:p w:rsidR="00DB0C0C" w:rsidRPr="00D049A9" w:rsidRDefault="00DB0C0C" w:rsidP="00DB0C0C">
            <w:pPr>
              <w:jc w:val="center"/>
              <w:rPr>
                <w:rFonts w:ascii="Bookman Old Style" w:hAnsi="Bookman Old Style" w:cs="Times New Roman"/>
                <w:color w:val="000000" w:themeColor="text1"/>
                <w:sz w:val="20"/>
                <w:szCs w:val="20"/>
              </w:rPr>
            </w:pPr>
          </w:p>
        </w:tc>
        <w:tc>
          <w:tcPr>
            <w:tcW w:w="1699" w:type="dxa"/>
            <w:vAlign w:val="center"/>
          </w:tcPr>
          <w:p w:rsidR="00DB0C0C" w:rsidRPr="00D049A9" w:rsidRDefault="00DB0C0C" w:rsidP="00DB0C0C">
            <w:pPr>
              <w:jc w:val="center"/>
              <w:rPr>
                <w:rFonts w:ascii="Bookman Old Style" w:hAnsi="Bookman Old Style" w:cs="Times New Roman"/>
                <w:b/>
                <w:color w:val="000000" w:themeColor="text1"/>
                <w:sz w:val="20"/>
                <w:szCs w:val="20"/>
              </w:rPr>
            </w:pPr>
          </w:p>
        </w:tc>
        <w:tc>
          <w:tcPr>
            <w:tcW w:w="4649" w:type="dxa"/>
            <w:vAlign w:val="center"/>
          </w:tcPr>
          <w:p w:rsidR="00DB0C0C" w:rsidRPr="00D049A9" w:rsidRDefault="00DB0C0C" w:rsidP="00DB0C0C">
            <w:pPr>
              <w:jc w:val="both"/>
              <w:rPr>
                <w:rFonts w:ascii="Bookman Old Style" w:hAnsi="Bookman Old Style" w:cs="Times New Roman"/>
                <w:color w:val="000000" w:themeColor="text1"/>
                <w:sz w:val="20"/>
                <w:szCs w:val="20"/>
              </w:rPr>
            </w:pPr>
          </w:p>
        </w:tc>
      </w:tr>
    </w:tbl>
    <w:p w:rsidR="00DB0C0C" w:rsidRDefault="00DB0C0C" w:rsidP="00B43011">
      <w:pPr>
        <w:jc w:val="both"/>
        <w:rPr>
          <w:rFonts w:ascii="Bookman Old Style" w:hAnsi="Bookman Old Style" w:cs="Times New Roman"/>
          <w:color w:val="000000" w:themeColor="text1"/>
          <w:sz w:val="24"/>
          <w:szCs w:val="24"/>
        </w:rPr>
      </w:pPr>
    </w:p>
    <w:p w:rsidR="00A347B6" w:rsidRDefault="00A347B6" w:rsidP="00B43011">
      <w:pPr>
        <w:jc w:val="both"/>
        <w:rPr>
          <w:rFonts w:ascii="Bookman Old Style" w:hAnsi="Bookman Old Style" w:cs="Times New Roman"/>
          <w:color w:val="000000" w:themeColor="text1"/>
          <w:sz w:val="24"/>
          <w:szCs w:val="24"/>
        </w:rPr>
      </w:pPr>
    </w:p>
    <w:p w:rsidR="00A347B6" w:rsidRPr="00B3094D" w:rsidRDefault="00A347B6" w:rsidP="00B43011">
      <w:pPr>
        <w:jc w:val="both"/>
        <w:rPr>
          <w:rFonts w:ascii="Bookman Old Style" w:hAnsi="Bookman Old Style" w:cs="Times New Roman"/>
          <w:color w:val="000000" w:themeColor="text1"/>
          <w:sz w:val="24"/>
          <w:szCs w:val="24"/>
        </w:rPr>
      </w:pPr>
    </w:p>
    <w:p w:rsidR="00DB0C0C" w:rsidRPr="00DB0C0C" w:rsidRDefault="00DB0C0C" w:rsidP="00DB0C0C">
      <w:pPr>
        <w:jc w:val="both"/>
        <w:rPr>
          <w:rFonts w:ascii="Bookman Old Style" w:hAnsi="Bookman Old Style" w:cs="Times New Roman"/>
          <w:b/>
          <w:color w:val="000000" w:themeColor="text1"/>
          <w:sz w:val="24"/>
          <w:szCs w:val="24"/>
        </w:rPr>
      </w:pPr>
      <w:r w:rsidRPr="00DB0C0C">
        <w:rPr>
          <w:rFonts w:ascii="Bookman Old Style" w:hAnsi="Bookman Old Style" w:cs="Times New Roman"/>
          <w:b/>
          <w:color w:val="000000" w:themeColor="text1"/>
          <w:sz w:val="24"/>
          <w:szCs w:val="24"/>
        </w:rPr>
        <w:lastRenderedPageBreak/>
        <w:t>Contextualização da Meta:</w:t>
      </w:r>
    </w:p>
    <w:p w:rsidR="00DB0C0C" w:rsidRPr="00DB0C0C" w:rsidRDefault="00DB0C0C" w:rsidP="00DB0C0C">
      <w:pPr>
        <w:ind w:firstLine="567"/>
        <w:jc w:val="both"/>
        <w:rPr>
          <w:rFonts w:ascii="Bookman Old Style" w:hAnsi="Bookman Old Style" w:cs="Times New Roman"/>
          <w:color w:val="000000" w:themeColor="text1"/>
          <w:sz w:val="24"/>
          <w:szCs w:val="24"/>
        </w:rPr>
      </w:pPr>
      <w:r w:rsidRPr="00DB0C0C">
        <w:rPr>
          <w:rFonts w:ascii="Bookman Old Style" w:hAnsi="Bookman Old Style" w:cs="Times New Roman"/>
          <w:color w:val="000000" w:themeColor="text1"/>
          <w:sz w:val="24"/>
          <w:szCs w:val="24"/>
        </w:rPr>
        <w:t xml:space="preserve">A meta de nº. 04 do Plano Municipal de Educação </w:t>
      </w:r>
      <w:proofErr w:type="gramStart"/>
      <w:r w:rsidRPr="00DB0C0C">
        <w:rPr>
          <w:rFonts w:ascii="Bookman Old Style" w:hAnsi="Bookman Old Style" w:cs="Times New Roman"/>
          <w:color w:val="000000" w:themeColor="text1"/>
          <w:sz w:val="24"/>
          <w:szCs w:val="24"/>
        </w:rPr>
        <w:t>prevê</w:t>
      </w:r>
      <w:proofErr w:type="gramEnd"/>
      <w:r w:rsidRPr="00DB0C0C">
        <w:rPr>
          <w:rFonts w:ascii="Bookman Old Style" w:hAnsi="Bookman Old Style" w:cs="Times New Roman"/>
          <w:color w:val="000000" w:themeColor="text1"/>
          <w:sz w:val="24"/>
          <w:szCs w:val="24"/>
        </w:rPr>
        <w:t xml:space="preserve"> a universalização para a população da faixa etária dos quatro (04) aos dezessete (17) anos, do atendimento escolar aos alunos com deficiências e transtornos globais, o desenvolvimento de altas habilidades ou </w:t>
      </w:r>
      <w:proofErr w:type="spellStart"/>
      <w:r w:rsidRPr="00DB0C0C">
        <w:rPr>
          <w:rFonts w:ascii="Bookman Old Style" w:hAnsi="Bookman Old Style" w:cs="Times New Roman"/>
          <w:color w:val="000000" w:themeColor="text1"/>
          <w:sz w:val="24"/>
          <w:szCs w:val="24"/>
        </w:rPr>
        <w:t>superdotação</w:t>
      </w:r>
      <w:proofErr w:type="spellEnd"/>
      <w:r w:rsidRPr="00DB0C0C">
        <w:rPr>
          <w:rFonts w:ascii="Bookman Old Style" w:hAnsi="Bookman Old Style" w:cs="Times New Roman"/>
          <w:color w:val="000000" w:themeColor="text1"/>
          <w:sz w:val="24"/>
          <w:szCs w:val="24"/>
        </w:rPr>
        <w:t>. O atendimento ofertado poderá ser tanto na rede regular de ensino como em salas de recursos multifuncionais, bem como no atendimento suplementar, ou na contratação de serviços especializados de atendimento. Esta meta trata da inclusão dos alunos na sociedade, promovendo a igualdade e equalizando o ensino no âmbito do Município, conforme detalham as estratégias previstas para a meta.</w:t>
      </w:r>
    </w:p>
    <w:p w:rsidR="00DB0C0C" w:rsidRPr="00DB0C0C" w:rsidRDefault="00DB0C0C" w:rsidP="00DB0C0C">
      <w:pPr>
        <w:ind w:firstLine="567"/>
        <w:jc w:val="both"/>
        <w:rPr>
          <w:rFonts w:ascii="Bookman Old Style" w:hAnsi="Bookman Old Style" w:cs="Times New Roman"/>
          <w:color w:val="000000" w:themeColor="text1"/>
          <w:sz w:val="24"/>
          <w:szCs w:val="24"/>
        </w:rPr>
      </w:pPr>
      <w:r w:rsidRPr="00DB0C0C">
        <w:rPr>
          <w:rFonts w:ascii="Bookman Old Style" w:hAnsi="Bookman Old Style" w:cs="Times New Roman"/>
          <w:color w:val="000000" w:themeColor="text1"/>
          <w:sz w:val="24"/>
          <w:szCs w:val="24"/>
        </w:rPr>
        <w:t xml:space="preserve">Conforme o já mencionado, a inclusão deve ser tratada de forma especial por parte do Município através do seu Sistema Municipal de Ensino. Invariavelmente temos numa população um ínterim de valores sociais e culturais, bem como distintos gêneros de personalidades e níveis cognitivos, que proporcionam grande pluralidade comportamental nos indivíduos. Portanto é imprescindível e vital prevermos no texto do Plano estas prerrogativas relacionadas ao atendimento da faixa etária dos quatro (04) aos dezessete (17) anos com deficiências e altas habilidades. Intuindo promover a inclusão em todos os níveis educacionais, ofertando o atendimento qualificado e especializado aos que necessitam. Esta meta é importante para o Município porque </w:t>
      </w:r>
      <w:proofErr w:type="gramStart"/>
      <w:r w:rsidRPr="00DB0C0C">
        <w:rPr>
          <w:rFonts w:ascii="Bookman Old Style" w:hAnsi="Bookman Old Style" w:cs="Times New Roman"/>
          <w:color w:val="000000" w:themeColor="text1"/>
          <w:sz w:val="24"/>
          <w:szCs w:val="24"/>
        </w:rPr>
        <w:t>caracteriza-se</w:t>
      </w:r>
      <w:proofErr w:type="gramEnd"/>
      <w:r w:rsidRPr="00DB0C0C">
        <w:rPr>
          <w:rFonts w:ascii="Bookman Old Style" w:hAnsi="Bookman Old Style" w:cs="Times New Roman"/>
          <w:color w:val="000000" w:themeColor="text1"/>
          <w:sz w:val="24"/>
          <w:szCs w:val="24"/>
        </w:rPr>
        <w:t xml:space="preserve"> como um aspecto inclusivo, e que objetiva também potenciar as competências e capacidades do indivíduo atendido.</w:t>
      </w:r>
    </w:p>
    <w:p w:rsidR="00DB0C0C" w:rsidRPr="00DB0C0C" w:rsidRDefault="00DB0C0C" w:rsidP="00DB0C0C">
      <w:pPr>
        <w:ind w:firstLine="567"/>
        <w:jc w:val="both"/>
        <w:rPr>
          <w:rFonts w:ascii="Bookman Old Style" w:hAnsi="Bookman Old Style" w:cs="Times New Roman"/>
          <w:color w:val="000000" w:themeColor="text1"/>
          <w:sz w:val="24"/>
          <w:szCs w:val="24"/>
        </w:rPr>
      </w:pPr>
      <w:r w:rsidRPr="00DB0C0C">
        <w:rPr>
          <w:rFonts w:ascii="Bookman Old Style" w:hAnsi="Bookman Old Style" w:cs="Times New Roman"/>
          <w:color w:val="000000" w:themeColor="text1"/>
          <w:sz w:val="24"/>
          <w:szCs w:val="24"/>
        </w:rPr>
        <w:t xml:space="preserve">As estratégias delineadas na meta relacionam-se através da objetividade proposta na contextualização e conteúdo das mesmas. Primando pelo investimento em </w:t>
      </w:r>
      <w:proofErr w:type="spellStart"/>
      <w:r w:rsidRPr="00DB0C0C">
        <w:rPr>
          <w:rFonts w:ascii="Bookman Old Style" w:hAnsi="Bookman Old Style" w:cs="Times New Roman"/>
          <w:color w:val="000000" w:themeColor="text1"/>
          <w:sz w:val="24"/>
          <w:szCs w:val="24"/>
        </w:rPr>
        <w:t>infraestrutura</w:t>
      </w:r>
      <w:proofErr w:type="spellEnd"/>
      <w:r w:rsidRPr="00DB0C0C">
        <w:rPr>
          <w:rFonts w:ascii="Bookman Old Style" w:hAnsi="Bookman Old Style" w:cs="Times New Roman"/>
          <w:color w:val="000000" w:themeColor="text1"/>
          <w:sz w:val="24"/>
          <w:szCs w:val="24"/>
        </w:rPr>
        <w:t xml:space="preserve"> previstos para a consecução final dos resultados, podendo ou não ser em regime de colaboração com o estado ou união. Assim como a fomentação da educação inclusiva com vistas a uma articulação com o ensino regular e atendimento especializado.</w:t>
      </w:r>
    </w:p>
    <w:p w:rsidR="00DB0C0C" w:rsidRDefault="00DB0C0C" w:rsidP="00DB0C0C">
      <w:pPr>
        <w:jc w:val="both"/>
        <w:rPr>
          <w:rFonts w:ascii="Bookman Old Style" w:hAnsi="Bookman Old Style" w:cs="Times New Roman"/>
          <w:color w:val="000000" w:themeColor="text1"/>
          <w:sz w:val="24"/>
          <w:szCs w:val="24"/>
        </w:rPr>
      </w:pPr>
    </w:p>
    <w:p w:rsidR="00A347B6" w:rsidRDefault="00A347B6" w:rsidP="00DB0C0C">
      <w:pPr>
        <w:jc w:val="both"/>
        <w:rPr>
          <w:rFonts w:ascii="Bookman Old Style" w:hAnsi="Bookman Old Style" w:cs="Times New Roman"/>
          <w:color w:val="000000" w:themeColor="text1"/>
          <w:sz w:val="24"/>
          <w:szCs w:val="24"/>
        </w:rPr>
      </w:pPr>
    </w:p>
    <w:p w:rsidR="00A347B6" w:rsidRDefault="00A347B6" w:rsidP="00DB0C0C">
      <w:pPr>
        <w:jc w:val="both"/>
        <w:rPr>
          <w:rFonts w:ascii="Bookman Old Style" w:hAnsi="Bookman Old Style" w:cs="Times New Roman"/>
          <w:color w:val="000000" w:themeColor="text1"/>
          <w:sz w:val="24"/>
          <w:szCs w:val="24"/>
        </w:rPr>
      </w:pPr>
    </w:p>
    <w:p w:rsidR="00A347B6" w:rsidRPr="00DB0C0C" w:rsidRDefault="00A347B6" w:rsidP="00DB0C0C">
      <w:pPr>
        <w:jc w:val="both"/>
        <w:rPr>
          <w:rFonts w:ascii="Bookman Old Style" w:hAnsi="Bookman Old Style" w:cs="Times New Roman"/>
          <w:color w:val="000000" w:themeColor="text1"/>
          <w:sz w:val="24"/>
          <w:szCs w:val="24"/>
        </w:rPr>
      </w:pPr>
    </w:p>
    <w:p w:rsidR="00DB0C0C" w:rsidRPr="00DB0C0C" w:rsidRDefault="00DB0C0C" w:rsidP="00DB0C0C">
      <w:pPr>
        <w:jc w:val="both"/>
        <w:rPr>
          <w:rFonts w:ascii="Bookman Old Style" w:hAnsi="Bookman Old Style" w:cs="Times New Roman"/>
          <w:b/>
          <w:color w:val="000000" w:themeColor="text1"/>
          <w:sz w:val="24"/>
          <w:szCs w:val="24"/>
        </w:rPr>
      </w:pPr>
      <w:r w:rsidRPr="00DB0C0C">
        <w:rPr>
          <w:rFonts w:ascii="Bookman Old Style" w:hAnsi="Bookman Old Style" w:cs="Times New Roman"/>
          <w:b/>
          <w:color w:val="000000" w:themeColor="text1"/>
          <w:sz w:val="24"/>
          <w:szCs w:val="24"/>
        </w:rPr>
        <w:t>Sistematização e Análise dos Dados:</w:t>
      </w:r>
    </w:p>
    <w:p w:rsidR="00DB0C0C" w:rsidRDefault="00DB0C0C" w:rsidP="00DB0C0C">
      <w:pPr>
        <w:ind w:firstLine="567"/>
        <w:jc w:val="both"/>
        <w:rPr>
          <w:rFonts w:ascii="Bookman Old Style" w:hAnsi="Bookman Old Style" w:cs="Times New Roman"/>
          <w:color w:val="000000" w:themeColor="text1"/>
          <w:sz w:val="24"/>
          <w:szCs w:val="24"/>
        </w:rPr>
      </w:pPr>
      <w:r w:rsidRPr="00DB0C0C">
        <w:rPr>
          <w:rFonts w:ascii="Bookman Old Style" w:hAnsi="Bookman Old Style" w:cs="Times New Roman"/>
          <w:color w:val="000000" w:themeColor="text1"/>
          <w:sz w:val="24"/>
          <w:szCs w:val="24"/>
        </w:rPr>
        <w:t xml:space="preserve">Os dados para o monitoramento delineados e detalhados nos indicadores </w:t>
      </w:r>
      <w:proofErr w:type="gramStart"/>
      <w:r w:rsidRPr="00DB0C0C">
        <w:rPr>
          <w:rFonts w:ascii="Bookman Old Style" w:hAnsi="Bookman Old Style" w:cs="Times New Roman"/>
          <w:color w:val="000000" w:themeColor="text1"/>
          <w:sz w:val="24"/>
          <w:szCs w:val="24"/>
        </w:rPr>
        <w:t>4</w:t>
      </w:r>
      <w:proofErr w:type="gramEnd"/>
      <w:r w:rsidRPr="00DB0C0C">
        <w:rPr>
          <w:rFonts w:ascii="Bookman Old Style" w:hAnsi="Bookman Old Style" w:cs="Times New Roman"/>
          <w:color w:val="000000" w:themeColor="text1"/>
          <w:sz w:val="24"/>
          <w:szCs w:val="24"/>
        </w:rPr>
        <w:t xml:space="preserve"> A e 4 B, tomaram por base o disponível no PNE em Movimento levando em conta o alcançado no ano de 2016 como o ponto de partida para elencarmos nossas considerações a respeito da meta.</w:t>
      </w:r>
      <w:r w:rsidRPr="00DB0C0C">
        <w:rPr>
          <w:rFonts w:ascii="Bookman Old Style" w:hAnsi="Bookman Old Style" w:cs="Times New Roman"/>
          <w:color w:val="000000" w:themeColor="text1"/>
          <w:sz w:val="24"/>
          <w:szCs w:val="24"/>
        </w:rPr>
        <w:cr/>
        <w:t xml:space="preserve">O indicador </w:t>
      </w:r>
      <w:proofErr w:type="gramStart"/>
      <w:r w:rsidRPr="00DB0C0C">
        <w:rPr>
          <w:rFonts w:ascii="Bookman Old Style" w:hAnsi="Bookman Old Style" w:cs="Times New Roman"/>
          <w:color w:val="000000" w:themeColor="text1"/>
          <w:sz w:val="24"/>
          <w:szCs w:val="24"/>
        </w:rPr>
        <w:t>4</w:t>
      </w:r>
      <w:proofErr w:type="gramEnd"/>
      <w:r w:rsidRPr="00DB0C0C">
        <w:rPr>
          <w:rFonts w:ascii="Bookman Old Style" w:hAnsi="Bookman Old Style" w:cs="Times New Roman"/>
          <w:color w:val="000000" w:themeColor="text1"/>
          <w:sz w:val="24"/>
          <w:szCs w:val="24"/>
        </w:rPr>
        <w:t xml:space="preserve"> A exprime o percentual da população de 4 a 17 anos com deficiência que </w:t>
      </w:r>
      <w:proofErr w:type="spellStart"/>
      <w:r w:rsidRPr="00DB0C0C">
        <w:rPr>
          <w:rFonts w:ascii="Bookman Old Style" w:hAnsi="Bookman Old Style" w:cs="Times New Roman"/>
          <w:color w:val="000000" w:themeColor="text1"/>
          <w:sz w:val="24"/>
          <w:szCs w:val="24"/>
        </w:rPr>
        <w:t>frequenta</w:t>
      </w:r>
      <w:proofErr w:type="spellEnd"/>
      <w:r w:rsidRPr="00DB0C0C">
        <w:rPr>
          <w:rFonts w:ascii="Bookman Old Style" w:hAnsi="Bookman Old Style" w:cs="Times New Roman"/>
          <w:color w:val="000000" w:themeColor="text1"/>
          <w:sz w:val="24"/>
          <w:szCs w:val="24"/>
        </w:rPr>
        <w:t xml:space="preserve"> a escola e o indicador 4B trata do percentual de matrículas em classes comuns do ensino regular e/ou EJA da educação básica de alunos de 4 a 17 anos de idade com deficiência, TGD e altas habilidades ou </w:t>
      </w:r>
      <w:proofErr w:type="spellStart"/>
      <w:r w:rsidRPr="00DB0C0C">
        <w:rPr>
          <w:rFonts w:ascii="Bookman Old Style" w:hAnsi="Bookman Old Style" w:cs="Times New Roman"/>
          <w:color w:val="000000" w:themeColor="text1"/>
          <w:sz w:val="24"/>
          <w:szCs w:val="24"/>
        </w:rPr>
        <w:t>superdotação</w:t>
      </w:r>
      <w:proofErr w:type="spellEnd"/>
      <w:r w:rsidRPr="00DB0C0C">
        <w:rPr>
          <w:rFonts w:ascii="Bookman Old Style" w:hAnsi="Bookman Old Style" w:cs="Times New Roman"/>
          <w:color w:val="000000" w:themeColor="text1"/>
          <w:sz w:val="24"/>
          <w:szCs w:val="24"/>
        </w:rPr>
        <w:t xml:space="preserve">.conforme ilustramos nos gráficos </w:t>
      </w:r>
      <w:r>
        <w:rPr>
          <w:rFonts w:ascii="Bookman Old Style" w:hAnsi="Bookman Old Style" w:cs="Times New Roman"/>
          <w:color w:val="000000" w:themeColor="text1"/>
          <w:sz w:val="24"/>
          <w:szCs w:val="24"/>
        </w:rPr>
        <w:t>que seguem</w:t>
      </w:r>
      <w:r w:rsidRPr="00DB0C0C">
        <w:rPr>
          <w:rFonts w:ascii="Bookman Old Style" w:hAnsi="Bookman Old Style" w:cs="Times New Roman"/>
          <w:color w:val="000000" w:themeColor="text1"/>
          <w:sz w:val="24"/>
          <w:szCs w:val="24"/>
        </w:rPr>
        <w:t>.</w:t>
      </w:r>
    </w:p>
    <w:p w:rsidR="00DB0C0C" w:rsidRDefault="00DB0C0C" w:rsidP="00DB0C0C">
      <w:pPr>
        <w:jc w:val="center"/>
        <w:rPr>
          <w:rFonts w:ascii="Bookman Old Style" w:hAnsi="Bookman Old Style" w:cs="Times New Roman"/>
          <w:color w:val="000000" w:themeColor="text1"/>
          <w:sz w:val="24"/>
          <w:szCs w:val="24"/>
        </w:rPr>
      </w:pPr>
      <w:r w:rsidRPr="00DB0C0C">
        <w:rPr>
          <w:rFonts w:ascii="Bookman Old Style" w:hAnsi="Bookman Old Style" w:cs="Times New Roman"/>
          <w:noProof/>
          <w:color w:val="000000" w:themeColor="text1"/>
          <w:sz w:val="24"/>
          <w:szCs w:val="24"/>
          <w:lang w:eastAsia="pt-BR"/>
        </w:rPr>
        <w:drawing>
          <wp:inline distT="0" distB="0" distL="0" distR="0">
            <wp:extent cx="4572000" cy="2857500"/>
            <wp:effectExtent l="19050" t="0" r="19050" b="0"/>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0C0C" w:rsidRPr="00DB0C0C" w:rsidRDefault="00FA57F4" w:rsidP="00DB0C0C">
      <w:pPr>
        <w:jc w:val="center"/>
        <w:rPr>
          <w:rFonts w:ascii="Bookman Old Style" w:hAnsi="Bookman Old Style" w:cs="Times New Roman"/>
          <w:color w:val="000000" w:themeColor="text1"/>
          <w:sz w:val="24"/>
          <w:szCs w:val="24"/>
        </w:rPr>
      </w:pPr>
      <w:r w:rsidRPr="00FA57F4">
        <w:rPr>
          <w:rFonts w:ascii="Bookman Old Style" w:hAnsi="Bookman Old Style" w:cs="Times New Roman"/>
          <w:noProof/>
          <w:color w:val="000000" w:themeColor="text1"/>
          <w:sz w:val="24"/>
          <w:szCs w:val="24"/>
          <w:lang w:eastAsia="pt-BR"/>
        </w:rPr>
        <w:lastRenderedPageBreak/>
        <w:drawing>
          <wp:inline distT="0" distB="0" distL="0" distR="0">
            <wp:extent cx="4572000" cy="2752725"/>
            <wp:effectExtent l="19050" t="0" r="19050" b="0"/>
            <wp:docPr id="1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0C0C" w:rsidRPr="00DB0C0C" w:rsidRDefault="00DB0C0C" w:rsidP="00DB0C0C">
      <w:pPr>
        <w:ind w:firstLine="567"/>
        <w:jc w:val="both"/>
        <w:rPr>
          <w:rFonts w:ascii="Bookman Old Style" w:hAnsi="Bookman Old Style" w:cs="Times New Roman"/>
          <w:color w:val="000000" w:themeColor="text1"/>
          <w:sz w:val="24"/>
          <w:szCs w:val="24"/>
        </w:rPr>
      </w:pPr>
      <w:r w:rsidRPr="00DB0C0C">
        <w:rPr>
          <w:rFonts w:ascii="Bookman Old Style" w:hAnsi="Bookman Old Style" w:cs="Times New Roman"/>
          <w:color w:val="000000" w:themeColor="text1"/>
          <w:sz w:val="24"/>
          <w:szCs w:val="24"/>
        </w:rPr>
        <w:t xml:space="preserve">   As sistematizações contidas no relatório trazidas a luz com os dados levantados onde detalhamos o alcançado e a meta proposta, conforme os gráficos assim o atestam. Retratam o panorama situacional em que se encontram a educação inclusiva na faixa etária de 04 a 17 anos para os alunos que apresentam deficiências ou transtornos globais e altas habilidades, com vistas a garantir o atendimento a contento e com a devida qualidade. </w:t>
      </w:r>
    </w:p>
    <w:p w:rsidR="00715B35" w:rsidRPr="00B3094D" w:rsidRDefault="00DB0C0C" w:rsidP="00DB0C0C">
      <w:pPr>
        <w:ind w:firstLine="567"/>
        <w:jc w:val="both"/>
        <w:rPr>
          <w:rFonts w:ascii="Bookman Old Style" w:hAnsi="Bookman Old Style" w:cs="Times New Roman"/>
          <w:color w:val="000000" w:themeColor="text1"/>
          <w:sz w:val="24"/>
          <w:szCs w:val="24"/>
        </w:rPr>
      </w:pPr>
      <w:r w:rsidRPr="00DB0C0C">
        <w:rPr>
          <w:rFonts w:ascii="Bookman Old Style" w:hAnsi="Bookman Old Style" w:cs="Times New Roman"/>
          <w:color w:val="000000" w:themeColor="text1"/>
          <w:sz w:val="24"/>
          <w:szCs w:val="24"/>
        </w:rPr>
        <w:t xml:space="preserve">No que diz respeito </w:t>
      </w:r>
      <w:proofErr w:type="gramStart"/>
      <w:r w:rsidRPr="00DB0C0C">
        <w:rPr>
          <w:rFonts w:ascii="Bookman Old Style" w:hAnsi="Bookman Old Style" w:cs="Times New Roman"/>
          <w:color w:val="000000" w:themeColor="text1"/>
          <w:sz w:val="24"/>
          <w:szCs w:val="24"/>
        </w:rPr>
        <w:t>a</w:t>
      </w:r>
      <w:proofErr w:type="gramEnd"/>
      <w:r w:rsidRPr="00DB0C0C">
        <w:rPr>
          <w:rFonts w:ascii="Bookman Old Style" w:hAnsi="Bookman Old Style" w:cs="Times New Roman"/>
          <w:color w:val="000000" w:themeColor="text1"/>
          <w:sz w:val="24"/>
          <w:szCs w:val="24"/>
        </w:rPr>
        <w:t xml:space="preserve"> evolução dos indicadores propostos para a esta meta; </w:t>
      </w:r>
      <w:proofErr w:type="spellStart"/>
      <w:r w:rsidRPr="00DB0C0C">
        <w:rPr>
          <w:rFonts w:ascii="Bookman Old Style" w:hAnsi="Bookman Old Style" w:cs="Times New Roman"/>
          <w:color w:val="000000" w:themeColor="text1"/>
          <w:sz w:val="24"/>
          <w:szCs w:val="24"/>
        </w:rPr>
        <w:t>nominadamente</w:t>
      </w:r>
      <w:proofErr w:type="spellEnd"/>
      <w:r w:rsidRPr="00DB0C0C">
        <w:rPr>
          <w:rFonts w:ascii="Bookman Old Style" w:hAnsi="Bookman Old Style" w:cs="Times New Roman"/>
          <w:color w:val="000000" w:themeColor="text1"/>
          <w:sz w:val="24"/>
          <w:szCs w:val="24"/>
        </w:rPr>
        <w:t xml:space="preserve"> o 4 A e o 4 B, temos dois aspectos distintos em ambos os indicadores. </w:t>
      </w:r>
      <w:proofErr w:type="gramStart"/>
      <w:r w:rsidRPr="00DB0C0C">
        <w:rPr>
          <w:rFonts w:ascii="Bookman Old Style" w:hAnsi="Bookman Old Style" w:cs="Times New Roman"/>
          <w:color w:val="000000" w:themeColor="text1"/>
          <w:sz w:val="24"/>
          <w:szCs w:val="24"/>
        </w:rPr>
        <w:t>No 4</w:t>
      </w:r>
      <w:proofErr w:type="gramEnd"/>
      <w:r w:rsidRPr="00DB0C0C">
        <w:rPr>
          <w:rFonts w:ascii="Bookman Old Style" w:hAnsi="Bookman Old Style" w:cs="Times New Roman"/>
          <w:color w:val="000000" w:themeColor="text1"/>
          <w:sz w:val="24"/>
          <w:szCs w:val="24"/>
        </w:rPr>
        <w:t xml:space="preserve"> A, os resultados alcançados não atingiram a meta especificada para o ano de 2016, lembrando que este é o exercício base para a elaboração do relatório, já o indicador 4 B, foi alcançada a meta proposta para o exercício 2016.</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FA57F4" w:rsidRPr="00540B0B" w:rsidTr="00FA647B">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FA57F4" w:rsidRPr="00540B0B" w:rsidRDefault="00FA57F4" w:rsidP="00FA647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FA57F4" w:rsidRPr="00540B0B" w:rsidRDefault="00FA57F4"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FA57F4" w:rsidRPr="00540B0B" w:rsidRDefault="00FA57F4"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FA57F4" w:rsidRPr="00540B0B" w:rsidRDefault="00FA57F4"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FA57F4" w:rsidRDefault="00FA57F4" w:rsidP="00FA647B">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FA57F4" w:rsidRPr="00540B0B" w:rsidRDefault="00FA57F4" w:rsidP="00FA647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Fortalecer o acompanhamento e o monitoramento do acesso à escola por parte dos beneficiários do Benefício de Prestação Continuada, de maneira a garantir a ampliação do atendimento aos estudantes com </w:t>
            </w:r>
            <w:r w:rsidRPr="00FA57F4">
              <w:rPr>
                <w:rFonts w:ascii="Calibri" w:eastAsia="Times New Roman" w:hAnsi="Calibri" w:cs="Calibri"/>
                <w:color w:val="000000"/>
                <w:lang w:eastAsia="pt-BR"/>
              </w:rPr>
              <w:lastRenderedPageBreak/>
              <w:t>deficiência na rede pública regular de ensino.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lastRenderedPageBreak/>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lastRenderedPageBreak/>
              <w:t>4.2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Viabilizar o acesso de crianças portadoras de necessidades educacionais especiais em salas regulares nas escolas do município.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 50% em 2017 e 50% em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Promover, no prazo de vigência deste PME, a universalização do atendimento escolar à demanda manifesta pelas famílias de crianças de </w:t>
            </w:r>
            <w:proofErr w:type="gramStart"/>
            <w:r w:rsidRPr="00FA57F4">
              <w:rPr>
                <w:rFonts w:ascii="Calibri" w:eastAsia="Times New Roman" w:hAnsi="Calibri" w:cs="Calibri"/>
                <w:color w:val="000000"/>
                <w:lang w:eastAsia="pt-BR"/>
              </w:rPr>
              <w:t>0</w:t>
            </w:r>
            <w:proofErr w:type="gramEnd"/>
            <w:r w:rsidRPr="00FA57F4">
              <w:rPr>
                <w:rFonts w:ascii="Calibri" w:eastAsia="Times New Roman" w:hAnsi="Calibri" w:cs="Calibri"/>
                <w:color w:val="000000"/>
                <w:lang w:eastAsia="pt-BR"/>
              </w:rPr>
              <w:t xml:space="preserve"> (zero) a 3 (três) anos com deficiência, transtornos globais do desenvolvimento e altas habilidades ou </w:t>
            </w:r>
            <w:proofErr w:type="spellStart"/>
            <w:r w:rsidRPr="00FA57F4">
              <w:rPr>
                <w:rFonts w:ascii="Calibri" w:eastAsia="Times New Roman" w:hAnsi="Calibri" w:cs="Calibri"/>
                <w:color w:val="000000"/>
                <w:lang w:eastAsia="pt-BR"/>
              </w:rPr>
              <w:t>superdotação</w:t>
            </w:r>
            <w:proofErr w:type="spellEnd"/>
            <w:r w:rsidRPr="00FA57F4">
              <w:rPr>
                <w:rFonts w:ascii="Calibri" w:eastAsia="Times New Roman" w:hAnsi="Calibri" w:cs="Calibri"/>
                <w:color w:val="000000"/>
                <w:lang w:eastAsia="pt-BR"/>
              </w:rPr>
              <w:t>, observado o que dispõe a Lei nº 9394 de 20 de dezembro de 1996, que estabelece as diretrizes e bases da educação nacional.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 50% em 2018 e 50% em 2019</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Ampliar e garantir, em regime de colaboração com a união a oferta </w:t>
            </w:r>
            <w:proofErr w:type="gramStart"/>
            <w:r w:rsidRPr="00FA57F4">
              <w:rPr>
                <w:rFonts w:ascii="Calibri" w:eastAsia="Times New Roman" w:hAnsi="Calibri" w:cs="Calibri"/>
                <w:color w:val="000000"/>
                <w:lang w:eastAsia="pt-BR"/>
              </w:rPr>
              <w:t>do atendimento educacional especializado complementar</w:t>
            </w:r>
            <w:proofErr w:type="gramEnd"/>
            <w:r w:rsidRPr="00FA57F4">
              <w:rPr>
                <w:rFonts w:ascii="Calibri" w:eastAsia="Times New Roman" w:hAnsi="Calibri" w:cs="Calibri"/>
                <w:color w:val="000000"/>
                <w:lang w:eastAsia="pt-BR"/>
              </w:rPr>
              <w:t xml:space="preserve"> aos estudantes matriculados na rede pública de ensino regular, cabendo à mantenedora, bem como ofertar  recursos materiais, humanos e estruturais necessários para atender com qualidade o educando com deficiência, transtornos globais do desenvolvimento e altas habilidades/</w:t>
            </w:r>
            <w:proofErr w:type="spellStart"/>
            <w:r w:rsidRPr="00FA57F4">
              <w:rPr>
                <w:rFonts w:ascii="Calibri" w:eastAsia="Times New Roman" w:hAnsi="Calibri" w:cs="Calibri"/>
                <w:color w:val="000000"/>
                <w:lang w:eastAsia="pt-BR"/>
              </w:rPr>
              <w:t>superdotação</w:t>
            </w:r>
            <w:proofErr w:type="spellEnd"/>
            <w:r w:rsidRPr="00FA57F4">
              <w:rPr>
                <w:rFonts w:ascii="Calibri" w:eastAsia="Times New Roman" w:hAnsi="Calibri" w:cs="Calibri"/>
                <w:color w:val="000000"/>
                <w:lang w:eastAsia="pt-BR"/>
              </w:rPr>
              <w:t>.</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100% até 2020</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Fomentar a educação inclusiva, promovendo e garantindo a articulação entre o ensino regular e o Atendimento Educacional Especializado complementar, ofertado em salas de recursos multifuncionais da própria escola ou em instituições credenciadas para este fim.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50% até 2020 e 50%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Garantir assessoria técnico-pedagógica e formação continuada e qualificada a todos os profissionais da </w:t>
            </w:r>
            <w:r w:rsidRPr="00FA57F4">
              <w:rPr>
                <w:rFonts w:ascii="Calibri" w:eastAsia="Times New Roman" w:hAnsi="Calibri" w:cs="Calibri"/>
                <w:color w:val="000000"/>
                <w:lang w:eastAsia="pt-BR"/>
              </w:rPr>
              <w:lastRenderedPageBreak/>
              <w:t>educação, na área da Educação Especial, por meio das mantenedoras e instituições.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lastRenderedPageBreak/>
              <w:t>100% até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Plano Plurianual - 2014/2017, Lei Orçamentária </w:t>
            </w:r>
            <w:r w:rsidRPr="00FA57F4">
              <w:rPr>
                <w:rFonts w:ascii="Calibri" w:eastAsia="Times New Roman" w:hAnsi="Calibri" w:cs="Calibri"/>
                <w:color w:val="000000"/>
                <w:lang w:eastAsia="pt-BR"/>
              </w:rPr>
              <w:lastRenderedPageBreak/>
              <w:t>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lastRenderedPageBreak/>
              <w:t xml:space="preserve">Realizada </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lastRenderedPageBreak/>
              <w:t>4.7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Manter, aprofundar e efetuar programa nacional de acessibilidade nas escolas para adequação arquitetônica, oferta de transporte, disponibilização de material didático e recursos de tecnologia </w:t>
            </w:r>
            <w:proofErr w:type="spellStart"/>
            <w:r w:rsidRPr="00FA57F4">
              <w:rPr>
                <w:rFonts w:ascii="Calibri" w:eastAsia="Times New Roman" w:hAnsi="Calibri" w:cs="Calibri"/>
                <w:color w:val="000000"/>
                <w:lang w:eastAsia="pt-BR"/>
              </w:rPr>
              <w:t>assistiva</w:t>
            </w:r>
            <w:proofErr w:type="spellEnd"/>
            <w:r w:rsidRPr="00FA57F4">
              <w:rPr>
                <w:rFonts w:ascii="Calibri" w:eastAsia="Times New Roman" w:hAnsi="Calibri" w:cs="Calibri"/>
                <w:color w:val="000000"/>
                <w:lang w:eastAsia="pt-BR"/>
              </w:rPr>
              <w:t xml:space="preserve">, e oferta da educação </w:t>
            </w:r>
            <w:proofErr w:type="spellStart"/>
            <w:r w:rsidRPr="00FA57F4">
              <w:rPr>
                <w:rFonts w:ascii="Calibri" w:eastAsia="Times New Roman" w:hAnsi="Calibri" w:cs="Calibri"/>
                <w:color w:val="000000"/>
                <w:lang w:eastAsia="pt-BR"/>
              </w:rPr>
              <w:t>bilíngue</w:t>
            </w:r>
            <w:proofErr w:type="spellEnd"/>
            <w:r w:rsidRPr="00FA57F4">
              <w:rPr>
                <w:rFonts w:ascii="Calibri" w:eastAsia="Times New Roman" w:hAnsi="Calibri" w:cs="Calibri"/>
                <w:color w:val="000000"/>
                <w:lang w:eastAsia="pt-BR"/>
              </w:rPr>
              <w:t xml:space="preserve"> em Língua Portuguesa e Língua Brasileira de Sinais - Libras.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100% até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Cumprir a legislação pertinente à acessibilidade na construção de novos espaços públicos e articular, junto às mantenedoras, a adequação gradativa dos espaços escolares, em atendimento às necessidades e especificidades de cada deficiência (barreira arquitetônica, sinalização, intérprete, legendas, leitura braile, etc.)</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100% até 2018</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Garantir em regime de colaboração com o estado e a união transporte escolar adequado, observando o cumprimento da legislação.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4.10</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Oportunizar aos estudantes com deficiência, transtornos globais do desenvolvimento e altas habilidades/</w:t>
            </w:r>
            <w:proofErr w:type="spellStart"/>
            <w:r w:rsidRPr="00FA57F4">
              <w:rPr>
                <w:rFonts w:ascii="Calibri" w:eastAsia="Times New Roman" w:hAnsi="Calibri" w:cs="Calibri"/>
                <w:color w:val="000000"/>
                <w:lang w:eastAsia="pt-BR"/>
              </w:rPr>
              <w:t>superdotação</w:t>
            </w:r>
            <w:proofErr w:type="spellEnd"/>
            <w:r w:rsidRPr="00FA57F4">
              <w:rPr>
                <w:rFonts w:ascii="Calibri" w:eastAsia="Times New Roman" w:hAnsi="Calibri" w:cs="Calibri"/>
                <w:color w:val="000000"/>
                <w:lang w:eastAsia="pt-BR"/>
              </w:rPr>
              <w:t xml:space="preserve"> atividades, esportivas e artísticas no contra turno da escola.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FA57F4" w:rsidRPr="00FA57F4" w:rsidTr="00FA57F4">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both"/>
              <w:rPr>
                <w:rFonts w:ascii="Calibri" w:eastAsia="Times New Roman" w:hAnsi="Calibri" w:cs="Calibri"/>
                <w:color w:val="000000"/>
                <w:lang w:eastAsia="pt-BR"/>
              </w:rPr>
            </w:pPr>
            <w:r w:rsidRPr="00FA57F4">
              <w:rPr>
                <w:rFonts w:ascii="Calibri" w:eastAsia="Times New Roman" w:hAnsi="Calibri" w:cs="Calibri"/>
                <w:color w:val="000000"/>
                <w:lang w:eastAsia="pt-BR"/>
              </w:rPr>
              <w:t>4.11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 xml:space="preserve"> Garantir, por meio de parcerias com a área da saúde, o atendimento educacional especializado para estudantes com deficiência, transtornos globais do desenvolvimento e altas habilidades/</w:t>
            </w:r>
            <w:proofErr w:type="spellStart"/>
            <w:r w:rsidRPr="00FA57F4">
              <w:rPr>
                <w:rFonts w:ascii="Calibri" w:eastAsia="Times New Roman" w:hAnsi="Calibri" w:cs="Calibri"/>
                <w:color w:val="000000"/>
                <w:lang w:eastAsia="pt-BR"/>
              </w:rPr>
              <w:t>superdotação</w:t>
            </w:r>
            <w:proofErr w:type="spellEnd"/>
            <w:r w:rsidRPr="00FA57F4">
              <w:rPr>
                <w:rFonts w:ascii="Calibri" w:eastAsia="Times New Roman" w:hAnsi="Calibri" w:cs="Calibri"/>
                <w:color w:val="000000"/>
                <w:lang w:eastAsia="pt-BR"/>
              </w:rPr>
              <w:t xml:space="preserve">, definindo junto com as Secretarias da Saúde e </w:t>
            </w:r>
            <w:r w:rsidRPr="00FA57F4">
              <w:rPr>
                <w:rFonts w:ascii="Calibri" w:eastAsia="Times New Roman" w:hAnsi="Calibri" w:cs="Calibri"/>
                <w:color w:val="000000"/>
                <w:lang w:eastAsia="pt-BR"/>
              </w:rPr>
              <w:lastRenderedPageBreak/>
              <w:t>da Educação do Município e do Estado quais as competências da área da educação e quais as da área da saúde.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lastRenderedPageBreak/>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rPr>
                <w:rFonts w:ascii="Calibri" w:eastAsia="Times New Roman" w:hAnsi="Calibri" w:cs="Calibri"/>
                <w:color w:val="000000"/>
                <w:lang w:eastAsia="pt-BR"/>
              </w:rPr>
            </w:pPr>
            <w:r w:rsidRPr="00FA57F4">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A57F4" w:rsidRPr="00FA57F4" w:rsidRDefault="00FA57F4" w:rsidP="00FA57F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anualmente</w:t>
            </w:r>
          </w:p>
        </w:tc>
      </w:tr>
    </w:tbl>
    <w:p w:rsidR="00715B35" w:rsidRPr="00B3094D" w:rsidRDefault="00715B35" w:rsidP="00B43011">
      <w:pPr>
        <w:jc w:val="both"/>
        <w:rPr>
          <w:rFonts w:ascii="Bookman Old Style" w:hAnsi="Bookman Old Style" w:cs="Times New Roman"/>
          <w:color w:val="000000" w:themeColor="text1"/>
          <w:sz w:val="24"/>
          <w:szCs w:val="24"/>
        </w:rPr>
      </w:pPr>
    </w:p>
    <w:p w:rsidR="00FA57F4" w:rsidRDefault="00FA57F4" w:rsidP="00FA57F4">
      <w:pPr>
        <w:jc w:val="both"/>
        <w:rPr>
          <w:rFonts w:ascii="Bookman Old Style" w:hAnsi="Bookman Old Style" w:cs="Times New Roman"/>
          <w:b/>
          <w:color w:val="000000" w:themeColor="text1"/>
          <w:sz w:val="24"/>
          <w:szCs w:val="24"/>
        </w:rPr>
      </w:pPr>
      <w:r w:rsidRPr="00FA57F4">
        <w:rPr>
          <w:rFonts w:ascii="Bookman Old Style" w:hAnsi="Bookman Old Style" w:cs="Times New Roman"/>
          <w:b/>
          <w:color w:val="000000" w:themeColor="text1"/>
          <w:sz w:val="24"/>
          <w:szCs w:val="24"/>
        </w:rPr>
        <w:t>Conclusão a respeito da Meta:</w:t>
      </w:r>
    </w:p>
    <w:p w:rsidR="00FA57F4" w:rsidRPr="00FA57F4" w:rsidRDefault="00FA57F4" w:rsidP="00FA57F4">
      <w:pPr>
        <w:jc w:val="both"/>
        <w:rPr>
          <w:rFonts w:ascii="Bookman Old Style" w:hAnsi="Bookman Old Style" w:cs="Times New Roman"/>
          <w:b/>
          <w:color w:val="000000" w:themeColor="text1"/>
          <w:sz w:val="24"/>
          <w:szCs w:val="24"/>
        </w:rPr>
      </w:pPr>
    </w:p>
    <w:p w:rsidR="00FA57F4" w:rsidRPr="00FA57F4" w:rsidRDefault="00FA57F4" w:rsidP="00FA57F4">
      <w:pPr>
        <w:ind w:firstLine="567"/>
        <w:jc w:val="both"/>
        <w:rPr>
          <w:rFonts w:ascii="Bookman Old Style" w:hAnsi="Bookman Old Style" w:cs="Times New Roman"/>
          <w:color w:val="000000" w:themeColor="text1"/>
          <w:sz w:val="24"/>
          <w:szCs w:val="24"/>
        </w:rPr>
      </w:pPr>
      <w:r w:rsidRPr="00FA57F4">
        <w:rPr>
          <w:rFonts w:ascii="Bookman Old Style" w:hAnsi="Bookman Old Style" w:cs="Times New Roman"/>
          <w:color w:val="000000" w:themeColor="text1"/>
          <w:sz w:val="24"/>
          <w:szCs w:val="24"/>
        </w:rPr>
        <w:t xml:space="preserve">Como aspectos conclusivos podemos </w:t>
      </w:r>
      <w:proofErr w:type="gramStart"/>
      <w:r w:rsidRPr="00FA57F4">
        <w:rPr>
          <w:rFonts w:ascii="Bookman Old Style" w:hAnsi="Bookman Old Style" w:cs="Times New Roman"/>
          <w:color w:val="000000" w:themeColor="text1"/>
          <w:sz w:val="24"/>
          <w:szCs w:val="24"/>
        </w:rPr>
        <w:t>inferirmos</w:t>
      </w:r>
      <w:proofErr w:type="gramEnd"/>
      <w:r w:rsidRPr="00FA57F4">
        <w:rPr>
          <w:rFonts w:ascii="Bookman Old Style" w:hAnsi="Bookman Old Style" w:cs="Times New Roman"/>
          <w:color w:val="000000" w:themeColor="text1"/>
          <w:sz w:val="24"/>
          <w:szCs w:val="24"/>
        </w:rPr>
        <w:t xml:space="preserve"> a respeito desta meta, que o Município de Paulo Bento atende-a quase que na sua plenitude. Isto se considerarmos aos números percentuais “frios”, uma vez que apenas no indicador </w:t>
      </w:r>
      <w:proofErr w:type="gramStart"/>
      <w:r w:rsidRPr="00FA57F4">
        <w:rPr>
          <w:rFonts w:ascii="Bookman Old Style" w:hAnsi="Bookman Old Style" w:cs="Times New Roman"/>
          <w:color w:val="000000" w:themeColor="text1"/>
          <w:sz w:val="24"/>
          <w:szCs w:val="24"/>
        </w:rPr>
        <w:t>4</w:t>
      </w:r>
      <w:proofErr w:type="gramEnd"/>
      <w:r w:rsidRPr="00FA57F4">
        <w:rPr>
          <w:rFonts w:ascii="Bookman Old Style" w:hAnsi="Bookman Old Style" w:cs="Times New Roman"/>
          <w:color w:val="000000" w:themeColor="text1"/>
          <w:sz w:val="24"/>
          <w:szCs w:val="24"/>
        </w:rPr>
        <w:t xml:space="preserve"> A o alcançado em 2016, atingiu o percentual de 79,4%, dos 100% propostos como meta. Já o indicador </w:t>
      </w:r>
      <w:proofErr w:type="gramStart"/>
      <w:r w:rsidRPr="00FA57F4">
        <w:rPr>
          <w:rFonts w:ascii="Bookman Old Style" w:hAnsi="Bookman Old Style" w:cs="Times New Roman"/>
          <w:color w:val="000000" w:themeColor="text1"/>
          <w:sz w:val="24"/>
          <w:szCs w:val="24"/>
        </w:rPr>
        <w:t>4</w:t>
      </w:r>
      <w:proofErr w:type="gramEnd"/>
      <w:r w:rsidRPr="00FA57F4">
        <w:rPr>
          <w:rFonts w:ascii="Bookman Old Style" w:hAnsi="Bookman Old Style" w:cs="Times New Roman"/>
          <w:color w:val="000000" w:themeColor="text1"/>
          <w:sz w:val="24"/>
          <w:szCs w:val="24"/>
        </w:rPr>
        <w:t xml:space="preserve"> B o alcançado igualou-se ao pactuado como meta proposta. Porém o Município necessita avançar no que tange aos aspectos </w:t>
      </w:r>
      <w:proofErr w:type="spellStart"/>
      <w:r w:rsidRPr="00FA57F4">
        <w:rPr>
          <w:rFonts w:ascii="Bookman Old Style" w:hAnsi="Bookman Old Style" w:cs="Times New Roman"/>
          <w:color w:val="000000" w:themeColor="text1"/>
          <w:sz w:val="24"/>
          <w:szCs w:val="24"/>
        </w:rPr>
        <w:t>infraestruturais</w:t>
      </w:r>
      <w:proofErr w:type="spellEnd"/>
      <w:r w:rsidRPr="00FA57F4">
        <w:rPr>
          <w:rFonts w:ascii="Bookman Old Style" w:hAnsi="Bookman Old Style" w:cs="Times New Roman"/>
          <w:color w:val="000000" w:themeColor="text1"/>
          <w:sz w:val="24"/>
          <w:szCs w:val="24"/>
        </w:rPr>
        <w:t xml:space="preserve">, dispondo de sala de atendimento especializado, para os alunos que apresentem necessidades especiais ou altas habilidades. Há de se atentar também para a preparação dos profissionais da educação, objetivando a capacitação contínua e com ampla qualidade, fomentando sempre a formação dos mesmos. </w:t>
      </w:r>
    </w:p>
    <w:p w:rsidR="00715B35" w:rsidRDefault="00FA57F4" w:rsidP="00FA57F4">
      <w:pPr>
        <w:ind w:firstLine="567"/>
        <w:jc w:val="both"/>
        <w:rPr>
          <w:rFonts w:ascii="Bookman Old Style" w:hAnsi="Bookman Old Style" w:cs="Times New Roman"/>
          <w:color w:val="000000" w:themeColor="text1"/>
          <w:sz w:val="24"/>
          <w:szCs w:val="24"/>
        </w:rPr>
      </w:pPr>
      <w:r w:rsidRPr="00FA57F4">
        <w:rPr>
          <w:rFonts w:ascii="Bookman Old Style" w:hAnsi="Bookman Old Style" w:cs="Times New Roman"/>
          <w:color w:val="000000" w:themeColor="text1"/>
          <w:sz w:val="24"/>
          <w:szCs w:val="24"/>
        </w:rPr>
        <w:t>A Municipalidade busca atender na medida do possível os alunos na faixa etária de 04 a 17anos que tenham deficiências ou altas habilidades, contratando serviços especializados e fomentando a inclusão no âmbito dos educandários pertencentes ao Sistema Municipal de Ensino.</w:t>
      </w:r>
    </w:p>
    <w:p w:rsidR="00A347B6" w:rsidRDefault="00A347B6" w:rsidP="00FA57F4">
      <w:pPr>
        <w:ind w:firstLine="567"/>
        <w:jc w:val="both"/>
        <w:rPr>
          <w:rFonts w:ascii="Bookman Old Style" w:hAnsi="Bookman Old Style" w:cs="Times New Roman"/>
          <w:color w:val="000000" w:themeColor="text1"/>
          <w:sz w:val="24"/>
          <w:szCs w:val="24"/>
        </w:rPr>
      </w:pPr>
    </w:p>
    <w:p w:rsidR="00A347B6" w:rsidRDefault="00A347B6" w:rsidP="00FA57F4">
      <w:pPr>
        <w:ind w:firstLine="567"/>
        <w:jc w:val="both"/>
        <w:rPr>
          <w:rFonts w:ascii="Bookman Old Style" w:hAnsi="Bookman Old Style" w:cs="Times New Roman"/>
          <w:color w:val="000000" w:themeColor="text1"/>
          <w:sz w:val="24"/>
          <w:szCs w:val="24"/>
        </w:rPr>
      </w:pPr>
    </w:p>
    <w:p w:rsidR="00A347B6" w:rsidRDefault="00A347B6" w:rsidP="00FA57F4">
      <w:pPr>
        <w:ind w:firstLine="567"/>
        <w:jc w:val="both"/>
        <w:rPr>
          <w:rFonts w:ascii="Bookman Old Style" w:hAnsi="Bookman Old Style" w:cs="Times New Roman"/>
          <w:color w:val="000000" w:themeColor="text1"/>
          <w:sz w:val="24"/>
          <w:szCs w:val="24"/>
        </w:rPr>
      </w:pPr>
    </w:p>
    <w:p w:rsidR="00A347B6" w:rsidRDefault="00A347B6" w:rsidP="00FA57F4">
      <w:pPr>
        <w:ind w:firstLine="567"/>
        <w:jc w:val="both"/>
        <w:rPr>
          <w:rFonts w:ascii="Bookman Old Style" w:hAnsi="Bookman Old Style" w:cs="Times New Roman"/>
          <w:color w:val="000000" w:themeColor="text1"/>
          <w:sz w:val="24"/>
          <w:szCs w:val="24"/>
        </w:rPr>
      </w:pPr>
    </w:p>
    <w:p w:rsidR="00A347B6" w:rsidRDefault="00A347B6" w:rsidP="00FA57F4">
      <w:pPr>
        <w:ind w:firstLine="567"/>
        <w:jc w:val="both"/>
        <w:rPr>
          <w:rFonts w:ascii="Bookman Old Style" w:hAnsi="Bookman Old Style" w:cs="Times New Roman"/>
          <w:color w:val="000000" w:themeColor="text1"/>
          <w:sz w:val="24"/>
          <w:szCs w:val="24"/>
        </w:rPr>
      </w:pPr>
    </w:p>
    <w:p w:rsidR="00A347B6" w:rsidRDefault="00A347B6" w:rsidP="00FA57F4">
      <w:pPr>
        <w:ind w:firstLine="567"/>
        <w:jc w:val="both"/>
        <w:rPr>
          <w:rFonts w:ascii="Bookman Old Style" w:hAnsi="Bookman Old Style" w:cs="Times New Roman"/>
          <w:color w:val="000000" w:themeColor="text1"/>
          <w:sz w:val="24"/>
          <w:szCs w:val="24"/>
        </w:rPr>
      </w:pPr>
    </w:p>
    <w:p w:rsidR="00A347B6" w:rsidRDefault="00A347B6" w:rsidP="00FA57F4">
      <w:pPr>
        <w:ind w:firstLine="567"/>
        <w:jc w:val="both"/>
        <w:rPr>
          <w:rFonts w:ascii="Bookman Old Style" w:hAnsi="Bookman Old Style" w:cs="Times New Roman"/>
          <w:color w:val="000000" w:themeColor="text1"/>
          <w:sz w:val="24"/>
          <w:szCs w:val="24"/>
        </w:rPr>
      </w:pPr>
    </w:p>
    <w:p w:rsidR="00A347B6" w:rsidRDefault="00A347B6" w:rsidP="00FA57F4">
      <w:pPr>
        <w:ind w:firstLine="567"/>
        <w:jc w:val="both"/>
        <w:rPr>
          <w:rFonts w:ascii="Bookman Old Style" w:hAnsi="Bookman Old Style" w:cs="Times New Roman"/>
          <w:color w:val="000000" w:themeColor="text1"/>
          <w:sz w:val="24"/>
          <w:szCs w:val="24"/>
        </w:rPr>
      </w:pPr>
    </w:p>
    <w:p w:rsidR="00F01C84" w:rsidRPr="00D81FEF" w:rsidRDefault="00216EAD" w:rsidP="00D81FEF">
      <w:pPr>
        <w:pStyle w:val="Ttulo1"/>
        <w:numPr>
          <w:ilvl w:val="0"/>
          <w:numId w:val="24"/>
        </w:numPr>
        <w:ind w:left="851" w:hanging="491"/>
        <w:rPr>
          <w:rFonts w:ascii="Bookman Old Style" w:hAnsi="Bookman Old Style"/>
          <w:color w:val="auto"/>
        </w:rPr>
      </w:pPr>
      <w:bookmarkStart w:id="8" w:name="_Toc497809474"/>
      <w:r w:rsidRPr="00D81FEF">
        <w:rPr>
          <w:rFonts w:ascii="Bookman Old Style" w:hAnsi="Bookman Old Style"/>
          <w:color w:val="auto"/>
        </w:rPr>
        <w:lastRenderedPageBreak/>
        <w:t>Meta sobre A</w:t>
      </w:r>
      <w:r w:rsidR="00F01C84" w:rsidRPr="00D81FEF">
        <w:rPr>
          <w:rFonts w:ascii="Bookman Old Style" w:hAnsi="Bookman Old Style"/>
          <w:color w:val="auto"/>
        </w:rPr>
        <w:t>lfabetização</w:t>
      </w:r>
      <w:bookmarkEnd w:id="8"/>
      <w:r w:rsidR="00F01C84" w:rsidRPr="00D81FEF">
        <w:rPr>
          <w:rFonts w:ascii="Bookman Old Style" w:hAnsi="Bookman Old Style"/>
          <w:color w:val="auto"/>
        </w:rPr>
        <w:t xml:space="preserve"> </w:t>
      </w:r>
    </w:p>
    <w:p w:rsidR="007D1A06" w:rsidRPr="00B3094D" w:rsidRDefault="007D1A06" w:rsidP="00A158C9">
      <w:pPr>
        <w:rPr>
          <w:rFonts w:ascii="Bookman Old Style" w:hAnsi="Bookman Old Style" w:cs="Times New Roman"/>
          <w:color w:val="000000" w:themeColor="text1"/>
          <w:sz w:val="28"/>
          <w:szCs w:val="28"/>
        </w:rPr>
      </w:pPr>
    </w:p>
    <w:p w:rsidR="00A158C9" w:rsidRPr="00FA57F4" w:rsidRDefault="00A158C9" w:rsidP="00FA57F4">
      <w:pPr>
        <w:jc w:val="both"/>
        <w:rPr>
          <w:rFonts w:ascii="Bookman Old Style" w:hAnsi="Bookman Old Style" w:cs="Times New Roman"/>
          <w:b/>
          <w:color w:val="000000" w:themeColor="text1"/>
          <w:sz w:val="24"/>
          <w:szCs w:val="24"/>
        </w:rPr>
      </w:pPr>
      <w:r w:rsidRPr="00FA57F4">
        <w:rPr>
          <w:rFonts w:ascii="Bookman Old Style" w:hAnsi="Bookman Old Style" w:cs="Times New Roman"/>
          <w:b/>
          <w:color w:val="000000" w:themeColor="text1"/>
          <w:sz w:val="24"/>
          <w:szCs w:val="24"/>
        </w:rPr>
        <w:t>Meta (</w:t>
      </w:r>
      <w:r w:rsidR="00FA57F4" w:rsidRPr="00FA57F4">
        <w:rPr>
          <w:rFonts w:ascii="Bookman Old Style" w:hAnsi="Bookman Old Style" w:cs="Times New Roman"/>
          <w:b/>
          <w:color w:val="000000" w:themeColor="text1"/>
          <w:sz w:val="24"/>
          <w:szCs w:val="24"/>
        </w:rPr>
        <w:t xml:space="preserve">Alfabetizar todas as crianças, no máximo, até o final do terceiro ano do ensino fundamental.  </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FA57F4" w:rsidRPr="00D049A9" w:rsidTr="00FA647B">
        <w:trPr>
          <w:gridBefore w:val="1"/>
          <w:wBefore w:w="1456" w:type="dxa"/>
          <w:trHeight w:val="948"/>
        </w:trPr>
        <w:tc>
          <w:tcPr>
            <w:tcW w:w="1330" w:type="dxa"/>
            <w:vAlign w:val="center"/>
          </w:tcPr>
          <w:p w:rsidR="00FA57F4" w:rsidRPr="00D049A9" w:rsidRDefault="00FA57F4" w:rsidP="00FA647B">
            <w:pPr>
              <w:rPr>
                <w:rFonts w:ascii="Bookman Old Style" w:hAnsi="Bookman Old Style" w:cs="Times New Roman"/>
                <w:color w:val="000000" w:themeColor="text1"/>
                <w:sz w:val="20"/>
                <w:szCs w:val="20"/>
              </w:rPr>
            </w:pPr>
          </w:p>
          <w:p w:rsidR="00FA57F4"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FA57F4" w:rsidRPr="00D049A9"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5</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FA57F4" w:rsidRPr="00D049A9" w:rsidRDefault="00FA57F4" w:rsidP="00FA647B">
            <w:pPr>
              <w:jc w:val="center"/>
              <w:rPr>
                <w:rFonts w:ascii="Bookman Old Style" w:hAnsi="Bookman Old Style" w:cs="Times New Roman"/>
                <w:color w:val="000000" w:themeColor="text1"/>
                <w:sz w:val="20"/>
                <w:szCs w:val="20"/>
              </w:rPr>
            </w:pPr>
          </w:p>
        </w:tc>
        <w:tc>
          <w:tcPr>
            <w:tcW w:w="7640" w:type="dxa"/>
            <w:gridSpan w:val="3"/>
            <w:vAlign w:val="center"/>
          </w:tcPr>
          <w:p w:rsidR="00FA57F4" w:rsidRPr="00D049A9" w:rsidRDefault="00FA57F4" w:rsidP="00FA647B">
            <w:pPr>
              <w:jc w:val="center"/>
              <w:rPr>
                <w:rFonts w:ascii="Bookman Old Style" w:hAnsi="Bookman Old Style" w:cs="Times New Roman"/>
                <w:b/>
                <w:color w:val="000000" w:themeColor="text1"/>
                <w:sz w:val="20"/>
                <w:szCs w:val="20"/>
              </w:rPr>
            </w:pPr>
            <w:r w:rsidRPr="00FA57F4">
              <w:rPr>
                <w:rFonts w:ascii="Bookman Old Style" w:hAnsi="Bookman Old Style" w:cs="Times New Roman"/>
                <w:b/>
                <w:color w:val="000000" w:themeColor="text1"/>
                <w:sz w:val="20"/>
                <w:szCs w:val="20"/>
              </w:rPr>
              <w:t xml:space="preserve">Estudantes com proficiência insuficiente em Leitura (nível </w:t>
            </w:r>
            <w:proofErr w:type="gramStart"/>
            <w:r w:rsidRPr="00FA57F4">
              <w:rPr>
                <w:rFonts w:ascii="Bookman Old Style" w:hAnsi="Bookman Old Style" w:cs="Times New Roman"/>
                <w:b/>
                <w:color w:val="000000" w:themeColor="text1"/>
                <w:sz w:val="20"/>
                <w:szCs w:val="20"/>
              </w:rPr>
              <w:t>1</w:t>
            </w:r>
            <w:proofErr w:type="gramEnd"/>
            <w:r w:rsidRPr="00FA57F4">
              <w:rPr>
                <w:rFonts w:ascii="Bookman Old Style" w:hAnsi="Bookman Old Style" w:cs="Times New Roman"/>
                <w:b/>
                <w:color w:val="000000" w:themeColor="text1"/>
                <w:sz w:val="20"/>
                <w:szCs w:val="20"/>
              </w:rPr>
              <w:t xml:space="preserve"> da escala de proficiência)</w:t>
            </w:r>
            <w:r>
              <w:rPr>
                <w:rFonts w:ascii="Bookman Old Style" w:hAnsi="Bookman Old Style" w:cs="Times New Roman"/>
                <w:b/>
                <w:color w:val="000000" w:themeColor="text1"/>
                <w:sz w:val="20"/>
                <w:szCs w:val="20"/>
              </w:rPr>
              <w:t>.</w:t>
            </w:r>
          </w:p>
        </w:tc>
      </w:tr>
      <w:tr w:rsidR="00FA57F4" w:rsidRPr="00D049A9" w:rsidTr="00FA647B">
        <w:tblPrEx>
          <w:tblCellMar>
            <w:left w:w="108" w:type="dxa"/>
            <w:right w:w="108" w:type="dxa"/>
          </w:tblCellMar>
          <w:tblLook w:val="04A0"/>
        </w:tblPrEx>
        <w:trPr>
          <w:gridBefore w:val="1"/>
          <w:wBefore w:w="1456" w:type="dxa"/>
          <w:trHeight w:val="325"/>
        </w:trPr>
        <w:tc>
          <w:tcPr>
            <w:tcW w:w="1330" w:type="dxa"/>
            <w:vAlign w:val="center"/>
          </w:tcPr>
          <w:p w:rsidR="00FA57F4" w:rsidRPr="00D049A9"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FA57F4" w:rsidRPr="00D049A9"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FA57F4" w:rsidRPr="00D049A9" w:rsidRDefault="00FA57F4"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FA57F4" w:rsidRPr="00D049A9" w:rsidTr="00FA647B">
        <w:trPr>
          <w:trHeight w:val="284"/>
        </w:trPr>
        <w:tc>
          <w:tcPr>
            <w:tcW w:w="1456" w:type="dxa"/>
            <w:vMerge w:val="restart"/>
            <w:tcBorders>
              <w:top w:val="nil"/>
              <w:left w:val="nil"/>
              <w:bottom w:val="nil"/>
            </w:tcBorders>
            <w:shd w:val="clear" w:color="auto" w:fill="auto"/>
            <w:vAlign w:val="center"/>
          </w:tcPr>
          <w:p w:rsidR="00FA57F4" w:rsidRPr="00D049A9" w:rsidRDefault="00FA57F4" w:rsidP="00FA647B">
            <w:pPr>
              <w:jc w:val="center"/>
              <w:rPr>
                <w:rFonts w:ascii="Bookman Old Style" w:hAnsi="Bookman Old Style" w:cs="Times New Roman"/>
                <w:color w:val="000000" w:themeColor="text1"/>
                <w:sz w:val="20"/>
                <w:szCs w:val="20"/>
              </w:rPr>
            </w:pPr>
          </w:p>
        </w:tc>
        <w:tc>
          <w:tcPr>
            <w:tcW w:w="1330" w:type="dxa"/>
            <w:vMerge w:val="restart"/>
            <w:vAlign w:val="center"/>
          </w:tcPr>
          <w:p w:rsidR="00FA57F4"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w:t>
            </w:r>
            <w:r w:rsidR="00FA57F4">
              <w:rPr>
                <w:rFonts w:ascii="Bookman Old Style" w:hAnsi="Bookman Old Style" w:cs="Times New Roman"/>
                <w:b/>
                <w:color w:val="000000" w:themeColor="text1"/>
                <w:sz w:val="20"/>
                <w:szCs w:val="20"/>
              </w:rPr>
              <w:t>0</w:t>
            </w:r>
            <w:r w:rsidR="00FA57F4" w:rsidRPr="00D049A9">
              <w:rPr>
                <w:rFonts w:ascii="Bookman Old Style" w:hAnsi="Bookman Old Style" w:cs="Times New Roman"/>
                <w:b/>
                <w:color w:val="000000" w:themeColor="text1"/>
                <w:sz w:val="20"/>
                <w:szCs w:val="20"/>
              </w:rPr>
              <w:t>%</w:t>
            </w:r>
          </w:p>
        </w:tc>
        <w:tc>
          <w:tcPr>
            <w:tcW w:w="1292" w:type="dxa"/>
            <w:vAlign w:val="center"/>
          </w:tcPr>
          <w:p w:rsidR="00FA57F4" w:rsidRPr="00D049A9" w:rsidRDefault="00FA57F4"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FA57F4"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00</w:t>
            </w:r>
            <w:r w:rsidR="00FA57F4">
              <w:rPr>
                <w:rFonts w:ascii="Bookman Old Style" w:hAnsi="Bookman Old Style" w:cs="Times New Roman"/>
                <w:b/>
                <w:color w:val="000000" w:themeColor="text1"/>
                <w:sz w:val="20"/>
                <w:szCs w:val="20"/>
              </w:rPr>
              <w:t xml:space="preserve"> </w:t>
            </w:r>
            <w:r w:rsidR="00FA57F4" w:rsidRPr="00D049A9">
              <w:rPr>
                <w:rFonts w:ascii="Bookman Old Style" w:hAnsi="Bookman Old Style" w:cs="Times New Roman"/>
                <w:b/>
                <w:color w:val="000000" w:themeColor="text1"/>
                <w:sz w:val="20"/>
                <w:szCs w:val="20"/>
              </w:rPr>
              <w:t>%</w:t>
            </w:r>
          </w:p>
        </w:tc>
        <w:tc>
          <w:tcPr>
            <w:tcW w:w="4649" w:type="dxa"/>
            <w:vAlign w:val="center"/>
          </w:tcPr>
          <w:p w:rsidR="00FA57F4" w:rsidRPr="00D049A9" w:rsidRDefault="00FA57F4" w:rsidP="00FA57F4">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http://simec.mec.gov.br/pde/graficopne.</w:t>
            </w:r>
            <w:proofErr w:type="gramEnd"/>
            <w:r w:rsidRPr="00D049A9">
              <w:rPr>
                <w:rFonts w:ascii="Bookman Old Style" w:hAnsi="Bookman Old Style" w:cs="Times New Roman"/>
                <w:color w:val="000000" w:themeColor="text1"/>
                <w:sz w:val="20"/>
                <w:szCs w:val="20"/>
              </w:rPr>
              <w:t xml:space="preserve">php, acesso em dezembro de 2016. </w:t>
            </w:r>
          </w:p>
        </w:tc>
      </w:tr>
      <w:tr w:rsidR="00FA57F4" w:rsidRPr="00D049A9" w:rsidTr="00FA647B">
        <w:trPr>
          <w:trHeight w:val="284"/>
        </w:trPr>
        <w:tc>
          <w:tcPr>
            <w:tcW w:w="1456" w:type="dxa"/>
            <w:vMerge/>
            <w:tcBorders>
              <w:left w:val="nil"/>
              <w:bottom w:val="nil"/>
            </w:tcBorders>
            <w:shd w:val="clear" w:color="auto" w:fill="auto"/>
            <w:vAlign w:val="center"/>
          </w:tcPr>
          <w:p w:rsidR="00FA57F4" w:rsidRPr="00D049A9" w:rsidRDefault="00FA57F4" w:rsidP="00FA647B">
            <w:pPr>
              <w:jc w:val="center"/>
              <w:rPr>
                <w:rFonts w:ascii="Bookman Old Style" w:hAnsi="Bookman Old Style" w:cs="Times New Roman"/>
                <w:color w:val="000000" w:themeColor="text1"/>
                <w:sz w:val="20"/>
                <w:szCs w:val="20"/>
              </w:rPr>
            </w:pPr>
          </w:p>
        </w:tc>
        <w:tc>
          <w:tcPr>
            <w:tcW w:w="1330" w:type="dxa"/>
            <w:vMerge/>
            <w:vAlign w:val="center"/>
          </w:tcPr>
          <w:p w:rsidR="00FA57F4" w:rsidRPr="00D049A9" w:rsidRDefault="00FA57F4" w:rsidP="00FA647B">
            <w:pPr>
              <w:jc w:val="center"/>
              <w:rPr>
                <w:rFonts w:ascii="Bookman Old Style" w:hAnsi="Bookman Old Style" w:cs="Times New Roman"/>
                <w:b/>
                <w:color w:val="000000" w:themeColor="text1"/>
                <w:sz w:val="20"/>
                <w:szCs w:val="20"/>
              </w:rPr>
            </w:pPr>
          </w:p>
        </w:tc>
        <w:tc>
          <w:tcPr>
            <w:tcW w:w="1292" w:type="dxa"/>
            <w:vAlign w:val="center"/>
          </w:tcPr>
          <w:p w:rsidR="00FA57F4" w:rsidRPr="00D049A9" w:rsidRDefault="00FA57F4" w:rsidP="00FA647B">
            <w:pPr>
              <w:jc w:val="center"/>
              <w:rPr>
                <w:rFonts w:ascii="Bookman Old Style" w:hAnsi="Bookman Old Style" w:cs="Times New Roman"/>
                <w:color w:val="000000" w:themeColor="text1"/>
                <w:sz w:val="20"/>
                <w:szCs w:val="20"/>
              </w:rPr>
            </w:pPr>
          </w:p>
        </w:tc>
        <w:tc>
          <w:tcPr>
            <w:tcW w:w="1699" w:type="dxa"/>
            <w:vAlign w:val="center"/>
          </w:tcPr>
          <w:p w:rsidR="00FA57F4" w:rsidRPr="00D049A9" w:rsidRDefault="00FA57F4" w:rsidP="00FA647B">
            <w:pPr>
              <w:jc w:val="center"/>
              <w:rPr>
                <w:rFonts w:ascii="Bookman Old Style" w:hAnsi="Bookman Old Style" w:cs="Times New Roman"/>
                <w:b/>
                <w:color w:val="000000" w:themeColor="text1"/>
                <w:sz w:val="20"/>
                <w:szCs w:val="20"/>
              </w:rPr>
            </w:pPr>
          </w:p>
        </w:tc>
        <w:tc>
          <w:tcPr>
            <w:tcW w:w="4649" w:type="dxa"/>
            <w:vAlign w:val="center"/>
          </w:tcPr>
          <w:p w:rsidR="00FA57F4" w:rsidRPr="00D049A9" w:rsidRDefault="00FA57F4" w:rsidP="00FA647B">
            <w:pPr>
              <w:jc w:val="both"/>
              <w:rPr>
                <w:rFonts w:ascii="Bookman Old Style" w:hAnsi="Bookman Old Style" w:cs="Times New Roman"/>
                <w:color w:val="000000" w:themeColor="text1"/>
                <w:sz w:val="20"/>
                <w:szCs w:val="20"/>
              </w:rPr>
            </w:pPr>
          </w:p>
        </w:tc>
      </w:tr>
      <w:tr w:rsidR="00D02307" w:rsidRPr="00D049A9" w:rsidTr="00FA647B">
        <w:trPr>
          <w:gridBefore w:val="1"/>
          <w:wBefore w:w="1456" w:type="dxa"/>
          <w:trHeight w:val="948"/>
        </w:trPr>
        <w:tc>
          <w:tcPr>
            <w:tcW w:w="1330" w:type="dxa"/>
            <w:vAlign w:val="center"/>
          </w:tcPr>
          <w:p w:rsidR="00D02307" w:rsidRPr="00D049A9" w:rsidRDefault="00D02307" w:rsidP="00FA647B">
            <w:pPr>
              <w:rPr>
                <w:rFonts w:ascii="Bookman Old Style" w:hAnsi="Bookman Old Style" w:cs="Times New Roman"/>
                <w:color w:val="000000" w:themeColor="text1"/>
                <w:sz w:val="20"/>
                <w:szCs w:val="20"/>
              </w:rPr>
            </w:pPr>
          </w:p>
          <w:p w:rsidR="00D02307"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5</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D02307" w:rsidRPr="00D049A9" w:rsidRDefault="00D02307" w:rsidP="00FA647B">
            <w:pPr>
              <w:jc w:val="center"/>
              <w:rPr>
                <w:rFonts w:ascii="Bookman Old Style" w:hAnsi="Bookman Old Style" w:cs="Times New Roman"/>
                <w:color w:val="000000" w:themeColor="text1"/>
                <w:sz w:val="20"/>
                <w:szCs w:val="20"/>
              </w:rPr>
            </w:pPr>
          </w:p>
        </w:tc>
        <w:tc>
          <w:tcPr>
            <w:tcW w:w="7640" w:type="dxa"/>
            <w:gridSpan w:val="3"/>
            <w:vAlign w:val="center"/>
          </w:tcPr>
          <w:p w:rsidR="00D02307" w:rsidRPr="00D049A9" w:rsidRDefault="00D02307" w:rsidP="00FA647B">
            <w:pPr>
              <w:jc w:val="center"/>
              <w:rPr>
                <w:rFonts w:ascii="Bookman Old Style" w:hAnsi="Bookman Old Style" w:cs="Times New Roman"/>
                <w:b/>
                <w:color w:val="000000" w:themeColor="text1"/>
                <w:sz w:val="20"/>
                <w:szCs w:val="20"/>
              </w:rPr>
            </w:pPr>
            <w:r w:rsidRPr="00D02307">
              <w:rPr>
                <w:rFonts w:ascii="Bookman Old Style" w:hAnsi="Bookman Old Style" w:cs="Times New Roman"/>
                <w:b/>
                <w:color w:val="000000" w:themeColor="text1"/>
                <w:sz w:val="20"/>
                <w:szCs w:val="20"/>
              </w:rPr>
              <w:t xml:space="preserve">Estudantes com proficiência insuficiente em Escrita (níveis 1, 2 e </w:t>
            </w:r>
            <w:proofErr w:type="gramStart"/>
            <w:r w:rsidRPr="00D02307">
              <w:rPr>
                <w:rFonts w:ascii="Bookman Old Style" w:hAnsi="Bookman Old Style" w:cs="Times New Roman"/>
                <w:b/>
                <w:color w:val="000000" w:themeColor="text1"/>
                <w:sz w:val="20"/>
                <w:szCs w:val="20"/>
              </w:rPr>
              <w:t>3</w:t>
            </w:r>
            <w:proofErr w:type="gramEnd"/>
            <w:r w:rsidRPr="00D02307">
              <w:rPr>
                <w:rFonts w:ascii="Bookman Old Style" w:hAnsi="Bookman Old Style" w:cs="Times New Roman"/>
                <w:b/>
                <w:color w:val="000000" w:themeColor="text1"/>
                <w:sz w:val="20"/>
                <w:szCs w:val="20"/>
              </w:rPr>
              <w:t xml:space="preserve"> da escala de proficiência).</w:t>
            </w:r>
          </w:p>
        </w:tc>
      </w:tr>
      <w:tr w:rsidR="00D02307" w:rsidRPr="00D049A9" w:rsidTr="00FA647B">
        <w:tblPrEx>
          <w:tblCellMar>
            <w:left w:w="108" w:type="dxa"/>
            <w:right w:w="108" w:type="dxa"/>
          </w:tblCellMar>
          <w:tblLook w:val="04A0"/>
        </w:tblPrEx>
        <w:trPr>
          <w:gridBefore w:val="1"/>
          <w:wBefore w:w="1456" w:type="dxa"/>
          <w:trHeight w:val="325"/>
        </w:trPr>
        <w:tc>
          <w:tcPr>
            <w:tcW w:w="1330"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02307" w:rsidRPr="00D049A9" w:rsidTr="00FA647B">
        <w:trPr>
          <w:trHeight w:val="284"/>
        </w:trPr>
        <w:tc>
          <w:tcPr>
            <w:tcW w:w="1456" w:type="dxa"/>
            <w:vMerge w:val="restart"/>
            <w:tcBorders>
              <w:top w:val="nil"/>
              <w:left w:val="nil"/>
              <w:bottom w:val="nil"/>
            </w:tcBorders>
            <w:shd w:val="clear" w:color="auto" w:fill="auto"/>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330" w:type="dxa"/>
            <w:vMerge w:val="restart"/>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00</w:t>
            </w:r>
            <w:r w:rsidRPr="00D049A9">
              <w:rPr>
                <w:rFonts w:ascii="Bookman Old Style" w:hAnsi="Bookman Old Style" w:cs="Times New Roman"/>
                <w:b/>
                <w:color w:val="000000" w:themeColor="text1"/>
                <w:sz w:val="20"/>
                <w:szCs w:val="20"/>
              </w:rPr>
              <w:t>%</w:t>
            </w:r>
          </w:p>
        </w:tc>
        <w:tc>
          <w:tcPr>
            <w:tcW w:w="1292"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00 </w:t>
            </w:r>
            <w:r w:rsidRPr="00D049A9">
              <w:rPr>
                <w:rFonts w:ascii="Bookman Old Style" w:hAnsi="Bookman Old Style" w:cs="Times New Roman"/>
                <w:b/>
                <w:color w:val="000000" w:themeColor="text1"/>
                <w:sz w:val="20"/>
                <w:szCs w:val="20"/>
              </w:rPr>
              <w:t>%</w:t>
            </w:r>
          </w:p>
        </w:tc>
        <w:tc>
          <w:tcPr>
            <w:tcW w:w="4649" w:type="dxa"/>
            <w:vAlign w:val="center"/>
          </w:tcPr>
          <w:p w:rsidR="00D02307" w:rsidRPr="00D049A9" w:rsidRDefault="00D02307" w:rsidP="00FA647B">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http://simec.mec.gov.br/pde/graficopne.php, acesso em dezembro de 2016. </w:t>
            </w:r>
          </w:p>
        </w:tc>
      </w:tr>
      <w:tr w:rsidR="00D02307" w:rsidRPr="00D049A9" w:rsidTr="00FA647B">
        <w:trPr>
          <w:trHeight w:val="284"/>
        </w:trPr>
        <w:tc>
          <w:tcPr>
            <w:tcW w:w="1456" w:type="dxa"/>
            <w:vMerge/>
            <w:tcBorders>
              <w:left w:val="nil"/>
              <w:bottom w:val="nil"/>
            </w:tcBorders>
            <w:shd w:val="clear" w:color="auto" w:fill="auto"/>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330" w:type="dxa"/>
            <w:vMerge/>
            <w:vAlign w:val="center"/>
          </w:tcPr>
          <w:p w:rsidR="00D02307" w:rsidRPr="00D049A9" w:rsidRDefault="00D02307" w:rsidP="00FA647B">
            <w:pPr>
              <w:jc w:val="center"/>
              <w:rPr>
                <w:rFonts w:ascii="Bookman Old Style" w:hAnsi="Bookman Old Style" w:cs="Times New Roman"/>
                <w:b/>
                <w:color w:val="000000" w:themeColor="text1"/>
                <w:sz w:val="20"/>
                <w:szCs w:val="20"/>
              </w:rPr>
            </w:pPr>
          </w:p>
        </w:tc>
        <w:tc>
          <w:tcPr>
            <w:tcW w:w="1292" w:type="dxa"/>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69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p>
        </w:tc>
        <w:tc>
          <w:tcPr>
            <w:tcW w:w="4649" w:type="dxa"/>
            <w:vAlign w:val="center"/>
          </w:tcPr>
          <w:p w:rsidR="00D02307" w:rsidRPr="00D049A9" w:rsidRDefault="00D02307" w:rsidP="00FA647B">
            <w:pPr>
              <w:jc w:val="both"/>
              <w:rPr>
                <w:rFonts w:ascii="Bookman Old Style" w:hAnsi="Bookman Old Style" w:cs="Times New Roman"/>
                <w:color w:val="000000" w:themeColor="text1"/>
                <w:sz w:val="20"/>
                <w:szCs w:val="20"/>
              </w:rPr>
            </w:pPr>
          </w:p>
        </w:tc>
      </w:tr>
      <w:tr w:rsidR="00D02307" w:rsidRPr="00D049A9" w:rsidTr="00FA647B">
        <w:trPr>
          <w:gridBefore w:val="1"/>
          <w:wBefore w:w="1456" w:type="dxa"/>
          <w:trHeight w:val="948"/>
        </w:trPr>
        <w:tc>
          <w:tcPr>
            <w:tcW w:w="1330" w:type="dxa"/>
            <w:vAlign w:val="center"/>
          </w:tcPr>
          <w:p w:rsidR="00D02307" w:rsidRPr="00D049A9" w:rsidRDefault="00D02307" w:rsidP="00FA647B">
            <w:pPr>
              <w:rPr>
                <w:rFonts w:ascii="Bookman Old Style" w:hAnsi="Bookman Old Style" w:cs="Times New Roman"/>
                <w:color w:val="000000" w:themeColor="text1"/>
                <w:sz w:val="20"/>
                <w:szCs w:val="20"/>
              </w:rPr>
            </w:pPr>
          </w:p>
          <w:p w:rsidR="00D02307"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5</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C</w:t>
            </w:r>
          </w:p>
          <w:p w:rsidR="00D02307" w:rsidRPr="00D049A9" w:rsidRDefault="00D02307" w:rsidP="00FA647B">
            <w:pPr>
              <w:jc w:val="center"/>
              <w:rPr>
                <w:rFonts w:ascii="Bookman Old Style" w:hAnsi="Bookman Old Style" w:cs="Times New Roman"/>
                <w:color w:val="000000" w:themeColor="text1"/>
                <w:sz w:val="20"/>
                <w:szCs w:val="20"/>
              </w:rPr>
            </w:pPr>
          </w:p>
        </w:tc>
        <w:tc>
          <w:tcPr>
            <w:tcW w:w="7640" w:type="dxa"/>
            <w:gridSpan w:val="3"/>
            <w:vAlign w:val="center"/>
          </w:tcPr>
          <w:p w:rsidR="00D02307" w:rsidRPr="00D049A9" w:rsidRDefault="00D02307" w:rsidP="00FA647B">
            <w:pPr>
              <w:jc w:val="center"/>
              <w:rPr>
                <w:rFonts w:ascii="Bookman Old Style" w:hAnsi="Bookman Old Style" w:cs="Times New Roman"/>
                <w:b/>
                <w:color w:val="000000" w:themeColor="text1"/>
                <w:sz w:val="20"/>
                <w:szCs w:val="20"/>
              </w:rPr>
            </w:pPr>
            <w:r w:rsidRPr="00D02307">
              <w:rPr>
                <w:rFonts w:ascii="Bookman Old Style" w:hAnsi="Bookman Old Style" w:cs="Times New Roman"/>
                <w:b/>
                <w:color w:val="000000" w:themeColor="text1"/>
                <w:sz w:val="20"/>
                <w:szCs w:val="20"/>
              </w:rPr>
              <w:t xml:space="preserve">Estudantes com proficiência insuficiente em Matemática (níveis </w:t>
            </w:r>
            <w:proofErr w:type="gramStart"/>
            <w:r w:rsidRPr="00D02307">
              <w:rPr>
                <w:rFonts w:ascii="Bookman Old Style" w:hAnsi="Bookman Old Style" w:cs="Times New Roman"/>
                <w:b/>
                <w:color w:val="000000" w:themeColor="text1"/>
                <w:sz w:val="20"/>
                <w:szCs w:val="20"/>
              </w:rPr>
              <w:t>1</w:t>
            </w:r>
            <w:proofErr w:type="gramEnd"/>
            <w:r w:rsidRPr="00D02307">
              <w:rPr>
                <w:rFonts w:ascii="Bookman Old Style" w:hAnsi="Bookman Old Style" w:cs="Times New Roman"/>
                <w:b/>
                <w:color w:val="000000" w:themeColor="text1"/>
                <w:sz w:val="20"/>
                <w:szCs w:val="20"/>
              </w:rPr>
              <w:t xml:space="preserve"> e 2 da escala de proficiência).</w:t>
            </w:r>
          </w:p>
        </w:tc>
      </w:tr>
      <w:tr w:rsidR="00D02307" w:rsidRPr="00D049A9" w:rsidTr="00FA647B">
        <w:tblPrEx>
          <w:tblCellMar>
            <w:left w:w="108" w:type="dxa"/>
            <w:right w:w="108" w:type="dxa"/>
          </w:tblCellMar>
          <w:tblLook w:val="04A0"/>
        </w:tblPrEx>
        <w:trPr>
          <w:gridBefore w:val="1"/>
          <w:wBefore w:w="1456" w:type="dxa"/>
          <w:trHeight w:val="325"/>
        </w:trPr>
        <w:tc>
          <w:tcPr>
            <w:tcW w:w="1330"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D02307" w:rsidRPr="00D049A9" w:rsidTr="00FA647B">
        <w:trPr>
          <w:trHeight w:val="284"/>
        </w:trPr>
        <w:tc>
          <w:tcPr>
            <w:tcW w:w="1456" w:type="dxa"/>
            <w:vMerge w:val="restart"/>
            <w:tcBorders>
              <w:top w:val="nil"/>
              <w:left w:val="nil"/>
              <w:bottom w:val="nil"/>
            </w:tcBorders>
            <w:shd w:val="clear" w:color="auto" w:fill="auto"/>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330" w:type="dxa"/>
            <w:vMerge w:val="restart"/>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00</w:t>
            </w:r>
            <w:r w:rsidRPr="00D049A9">
              <w:rPr>
                <w:rFonts w:ascii="Bookman Old Style" w:hAnsi="Bookman Old Style" w:cs="Times New Roman"/>
                <w:b/>
                <w:color w:val="000000" w:themeColor="text1"/>
                <w:sz w:val="20"/>
                <w:szCs w:val="20"/>
              </w:rPr>
              <w:t>%</w:t>
            </w:r>
          </w:p>
        </w:tc>
        <w:tc>
          <w:tcPr>
            <w:tcW w:w="1292"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21,40 </w:t>
            </w:r>
            <w:r w:rsidRPr="00D049A9">
              <w:rPr>
                <w:rFonts w:ascii="Bookman Old Style" w:hAnsi="Bookman Old Style" w:cs="Times New Roman"/>
                <w:b/>
                <w:color w:val="000000" w:themeColor="text1"/>
                <w:sz w:val="20"/>
                <w:szCs w:val="20"/>
              </w:rPr>
              <w:t>%</w:t>
            </w:r>
          </w:p>
        </w:tc>
        <w:tc>
          <w:tcPr>
            <w:tcW w:w="4649" w:type="dxa"/>
            <w:vAlign w:val="center"/>
          </w:tcPr>
          <w:p w:rsidR="00D02307" w:rsidRPr="00D049A9" w:rsidRDefault="00D02307" w:rsidP="00FA647B">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http://simec.mec.gov.br/pde/graficopne.php, acesso em dezembro de 2016. </w:t>
            </w:r>
          </w:p>
        </w:tc>
      </w:tr>
      <w:tr w:rsidR="00D02307" w:rsidRPr="00D049A9" w:rsidTr="00FA647B">
        <w:trPr>
          <w:trHeight w:val="284"/>
        </w:trPr>
        <w:tc>
          <w:tcPr>
            <w:tcW w:w="1456" w:type="dxa"/>
            <w:vMerge/>
            <w:tcBorders>
              <w:left w:val="nil"/>
              <w:bottom w:val="nil"/>
            </w:tcBorders>
            <w:shd w:val="clear" w:color="auto" w:fill="auto"/>
            <w:vAlign w:val="center"/>
          </w:tcPr>
          <w:p w:rsidR="00D02307" w:rsidRPr="00D049A9" w:rsidRDefault="00D02307" w:rsidP="00FA647B">
            <w:pPr>
              <w:jc w:val="center"/>
              <w:rPr>
                <w:rFonts w:ascii="Bookman Old Style" w:hAnsi="Bookman Old Style" w:cs="Times New Roman"/>
                <w:color w:val="000000" w:themeColor="text1"/>
                <w:sz w:val="20"/>
                <w:szCs w:val="20"/>
              </w:rPr>
            </w:pPr>
          </w:p>
        </w:tc>
        <w:tc>
          <w:tcPr>
            <w:tcW w:w="1330" w:type="dxa"/>
            <w:vMerge/>
            <w:vAlign w:val="center"/>
          </w:tcPr>
          <w:p w:rsidR="00D02307" w:rsidRPr="00D049A9" w:rsidRDefault="00D02307" w:rsidP="00FA647B">
            <w:pPr>
              <w:jc w:val="center"/>
              <w:rPr>
                <w:rFonts w:ascii="Bookman Old Style" w:hAnsi="Bookman Old Style" w:cs="Times New Roman"/>
                <w:b/>
                <w:color w:val="000000" w:themeColor="text1"/>
                <w:sz w:val="20"/>
                <w:szCs w:val="20"/>
              </w:rPr>
            </w:pPr>
          </w:p>
        </w:tc>
        <w:tc>
          <w:tcPr>
            <w:tcW w:w="1292" w:type="dxa"/>
            <w:vAlign w:val="center"/>
          </w:tcPr>
          <w:p w:rsidR="00D02307" w:rsidRPr="00D049A9" w:rsidRDefault="00D02307" w:rsidP="00FA647B">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D02307" w:rsidRPr="00D049A9" w:rsidRDefault="00D02307"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w:t>
            </w:r>
          </w:p>
        </w:tc>
        <w:tc>
          <w:tcPr>
            <w:tcW w:w="4649" w:type="dxa"/>
            <w:vAlign w:val="center"/>
          </w:tcPr>
          <w:p w:rsidR="00D02307" w:rsidRPr="00D049A9" w:rsidRDefault="00D02307" w:rsidP="00FA647B">
            <w:pPr>
              <w:jc w:val="both"/>
              <w:rPr>
                <w:rFonts w:ascii="Bookman Old Style" w:hAnsi="Bookman Old Style" w:cs="Times New Roman"/>
                <w:color w:val="000000" w:themeColor="text1"/>
                <w:sz w:val="20"/>
                <w:szCs w:val="20"/>
              </w:rPr>
            </w:pPr>
            <w:r w:rsidRPr="00D02307">
              <w:rPr>
                <w:rFonts w:ascii="Bookman Old Style" w:hAnsi="Bookman Old Style" w:cs="Times New Roman"/>
                <w:color w:val="000000" w:themeColor="text1"/>
                <w:sz w:val="20"/>
                <w:szCs w:val="20"/>
              </w:rPr>
              <w:t>Fonte: Dados levantados juntos à Secretaria Municipal de Educação (ano 2016).</w:t>
            </w:r>
          </w:p>
        </w:tc>
      </w:tr>
    </w:tbl>
    <w:p w:rsidR="00715B35" w:rsidRPr="00B3094D" w:rsidRDefault="00715B35" w:rsidP="00D02307">
      <w:pPr>
        <w:pStyle w:val="PargrafodaLista"/>
        <w:ind w:left="0"/>
        <w:jc w:val="both"/>
        <w:rPr>
          <w:rFonts w:ascii="Bookman Old Style" w:hAnsi="Bookman Old Style" w:cs="Times New Roman"/>
          <w:color w:val="000000" w:themeColor="text1"/>
          <w:sz w:val="24"/>
          <w:szCs w:val="24"/>
        </w:rPr>
      </w:pPr>
    </w:p>
    <w:p w:rsidR="00715B35" w:rsidRDefault="00715B35" w:rsidP="00CB73DC">
      <w:pPr>
        <w:pStyle w:val="PargrafodaLista"/>
        <w:jc w:val="both"/>
        <w:rPr>
          <w:rFonts w:ascii="Bookman Old Style" w:hAnsi="Bookman Old Style" w:cs="Times New Roman"/>
          <w:color w:val="000000" w:themeColor="text1"/>
          <w:sz w:val="24"/>
          <w:szCs w:val="24"/>
        </w:rPr>
      </w:pPr>
    </w:p>
    <w:p w:rsidR="00A347B6" w:rsidRPr="00B3094D" w:rsidRDefault="00A347B6" w:rsidP="00CB73DC">
      <w:pPr>
        <w:pStyle w:val="PargrafodaLista"/>
        <w:jc w:val="both"/>
        <w:rPr>
          <w:rFonts w:ascii="Bookman Old Style" w:hAnsi="Bookman Old Style" w:cs="Times New Roman"/>
          <w:color w:val="000000" w:themeColor="text1"/>
          <w:sz w:val="24"/>
          <w:szCs w:val="24"/>
        </w:rPr>
      </w:pPr>
    </w:p>
    <w:p w:rsidR="00D02307" w:rsidRPr="00D02307" w:rsidRDefault="00D02307" w:rsidP="00D02307">
      <w:pPr>
        <w:jc w:val="both"/>
        <w:rPr>
          <w:rFonts w:ascii="Bookman Old Style" w:hAnsi="Bookman Old Style" w:cs="Times New Roman"/>
          <w:b/>
          <w:color w:val="000000" w:themeColor="text1"/>
          <w:sz w:val="24"/>
          <w:szCs w:val="24"/>
        </w:rPr>
      </w:pPr>
      <w:r w:rsidRPr="00D02307">
        <w:rPr>
          <w:rFonts w:ascii="Bookman Old Style" w:hAnsi="Bookman Old Style" w:cs="Times New Roman"/>
          <w:b/>
          <w:color w:val="000000" w:themeColor="text1"/>
          <w:sz w:val="24"/>
          <w:szCs w:val="24"/>
        </w:rPr>
        <w:lastRenderedPageBreak/>
        <w:t>Contextualização da Meta:</w:t>
      </w: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 xml:space="preserve">A meta número 05 do Plano Municipal de Educação, propõe a alfabetização de todas as crianças em no máximo até o final do terceiro ano do ensino fundamental. Denota-se que a alfabetização é um processo contínuo e relevante para a formação cognitiva e cultural do indivíduo. A alfabetização </w:t>
      </w:r>
      <w:proofErr w:type="gramStart"/>
      <w:r w:rsidRPr="00D02307">
        <w:rPr>
          <w:rFonts w:ascii="Bookman Old Style" w:hAnsi="Bookman Old Style" w:cs="Times New Roman"/>
          <w:color w:val="000000" w:themeColor="text1"/>
          <w:sz w:val="24"/>
          <w:szCs w:val="24"/>
        </w:rPr>
        <w:t>na três primeiros</w:t>
      </w:r>
      <w:proofErr w:type="gramEnd"/>
      <w:r w:rsidRPr="00D02307">
        <w:rPr>
          <w:rFonts w:ascii="Bookman Old Style" w:hAnsi="Bookman Old Style" w:cs="Times New Roman"/>
          <w:color w:val="000000" w:themeColor="text1"/>
          <w:sz w:val="24"/>
          <w:szCs w:val="24"/>
        </w:rPr>
        <w:t xml:space="preserve"> anos no ensino fundamental, indubitavelmente colocará o aluno em posição privilegiada no processo contínuo da sua aprendizagem. Portanto tratamos o importante processo de alfabetização como um bloco conceitual que abarca os três primeiros anos do ensino fundamental. Onde objetiva-se que o estudante consiga estar apto a escrever, ler e ter a interpretação textos, além de efetuar cálculos matemáticos básicos, tudo dentro da sua faixa etária conforme o que prevê os aspectos pedagógicos.</w:t>
      </w: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A relevância desta meta para o Município de Paulo Bento reside justamente na possibilidade de alfabetizar os alunos até o terceiro ano do ensino fundamental, o que contribuirá de forma significativa para a elevação dos patamares qualitativos da educação no âmbito da nossa Comunidade. E preparará melhor os alunos para o seu processo de aprendizagem nas etapas e seguintes de ensino.</w:t>
      </w:r>
    </w:p>
    <w:p w:rsidR="00D02307"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 xml:space="preserve">As estratégias propostas para esta meta ensejam garantir a implantação e a estruturação do ensino fundamental de nove anos. Implantar em regime de colaboração com estado e união para programas de apoio pedagógico intuindo garantir a alfabetização dos alunos nos primeiros anos do ensino fundamental. Oferecer atividades pedagógicas complementares aos alunos dos três primeiros anos do ensino fundamental, em contra turno e fomentar o desenvolvimento de metodologias e abordagens que ensejam favorecer a alfabetização proposta nesta meta, que apóiem aprendizagem múltipla da leitura, escrita e matemática. Há também que não relegar a formação contínua do quadro de professores, voltadas </w:t>
      </w:r>
      <w:proofErr w:type="gramStart"/>
      <w:r w:rsidRPr="00D02307">
        <w:rPr>
          <w:rFonts w:ascii="Bookman Old Style" w:hAnsi="Bookman Old Style" w:cs="Times New Roman"/>
          <w:color w:val="000000" w:themeColor="text1"/>
          <w:sz w:val="24"/>
          <w:szCs w:val="24"/>
        </w:rPr>
        <w:t>as</w:t>
      </w:r>
      <w:proofErr w:type="gramEnd"/>
      <w:r w:rsidRPr="00D02307">
        <w:rPr>
          <w:rFonts w:ascii="Bookman Old Style" w:hAnsi="Bookman Old Style" w:cs="Times New Roman"/>
          <w:color w:val="000000" w:themeColor="text1"/>
          <w:sz w:val="24"/>
          <w:szCs w:val="24"/>
        </w:rPr>
        <w:t xml:space="preserve"> novas e qualitativas abordagens pedagógicas, com vistas a preparar plenamente os docentes para o processo de alfabetização.</w:t>
      </w:r>
    </w:p>
    <w:p w:rsidR="00D02307" w:rsidRDefault="00D02307" w:rsidP="00D02307">
      <w:pPr>
        <w:pStyle w:val="PargrafodaLista"/>
        <w:ind w:left="0" w:firstLine="567"/>
        <w:jc w:val="both"/>
        <w:rPr>
          <w:rFonts w:ascii="Bookman Old Style" w:hAnsi="Bookman Old Style" w:cs="Times New Roman"/>
          <w:color w:val="000000" w:themeColor="text1"/>
          <w:sz w:val="24"/>
          <w:szCs w:val="24"/>
        </w:rPr>
      </w:pPr>
    </w:p>
    <w:p w:rsidR="00D02307" w:rsidRDefault="00D02307" w:rsidP="00D02307">
      <w:pPr>
        <w:pStyle w:val="PargrafodaLista"/>
        <w:ind w:left="0" w:firstLine="567"/>
        <w:jc w:val="both"/>
        <w:rPr>
          <w:rFonts w:ascii="Bookman Old Style" w:hAnsi="Bookman Old Style" w:cs="Times New Roman"/>
          <w:color w:val="000000" w:themeColor="text1"/>
          <w:sz w:val="24"/>
          <w:szCs w:val="24"/>
        </w:rPr>
      </w:pP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p>
    <w:p w:rsidR="00D02307" w:rsidRPr="00D02307" w:rsidRDefault="00D02307" w:rsidP="00D02307">
      <w:pPr>
        <w:jc w:val="both"/>
        <w:rPr>
          <w:rFonts w:ascii="Bookman Old Style" w:hAnsi="Bookman Old Style" w:cs="Times New Roman"/>
          <w:b/>
          <w:color w:val="000000" w:themeColor="text1"/>
          <w:sz w:val="24"/>
          <w:szCs w:val="24"/>
        </w:rPr>
      </w:pPr>
      <w:r w:rsidRPr="00D02307">
        <w:rPr>
          <w:rFonts w:ascii="Bookman Old Style" w:hAnsi="Bookman Old Style" w:cs="Times New Roman"/>
          <w:b/>
          <w:color w:val="000000" w:themeColor="text1"/>
          <w:sz w:val="24"/>
          <w:szCs w:val="24"/>
        </w:rPr>
        <w:lastRenderedPageBreak/>
        <w:t>Sistematização e Análise dos Dados:</w:t>
      </w: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Os dados extraídos para análise desta meta e indicadores</w:t>
      </w:r>
      <w:proofErr w:type="gramStart"/>
      <w:r w:rsidRPr="00D02307">
        <w:rPr>
          <w:rFonts w:ascii="Bookman Old Style" w:hAnsi="Bookman Old Style" w:cs="Times New Roman"/>
          <w:color w:val="000000" w:themeColor="text1"/>
          <w:sz w:val="24"/>
          <w:szCs w:val="24"/>
        </w:rPr>
        <w:t>, tomaram</w:t>
      </w:r>
      <w:proofErr w:type="gramEnd"/>
      <w:r w:rsidRPr="00D02307">
        <w:rPr>
          <w:rFonts w:ascii="Bookman Old Style" w:hAnsi="Bookman Old Style" w:cs="Times New Roman"/>
          <w:color w:val="000000" w:themeColor="text1"/>
          <w:sz w:val="24"/>
          <w:szCs w:val="24"/>
        </w:rPr>
        <w:t xml:space="preserve"> por base o ano de 2016, e foram obtidos junto ao PNE em Movimento e a Secretaria Municipal de Educação. O indicador </w:t>
      </w:r>
      <w:proofErr w:type="gramStart"/>
      <w:r w:rsidRPr="00D02307">
        <w:rPr>
          <w:rFonts w:ascii="Bookman Old Style" w:hAnsi="Bookman Old Style" w:cs="Times New Roman"/>
          <w:color w:val="000000" w:themeColor="text1"/>
          <w:sz w:val="24"/>
          <w:szCs w:val="24"/>
        </w:rPr>
        <w:t>5</w:t>
      </w:r>
      <w:proofErr w:type="gramEnd"/>
      <w:r w:rsidRPr="00D02307">
        <w:rPr>
          <w:rFonts w:ascii="Bookman Old Style" w:hAnsi="Bookman Old Style" w:cs="Times New Roman"/>
          <w:color w:val="000000" w:themeColor="text1"/>
          <w:sz w:val="24"/>
          <w:szCs w:val="24"/>
        </w:rPr>
        <w:t xml:space="preserve"> A prevê a porcentagem de estudantes com proficiência insuficiente em Leitura (nível 1 da escala de proficiência), (fonte PNE em Movimento), o indicador 5 B, prevê o percentual de estudantes com proficiência insuficiente em Escrita (níveis 1, 2 e 3 da escala de proficiência), (fonte PNE em Movimento) e o indicador 5 C, prevê o percentual de estudantes com proficiência insuficiente em Matemática (níveis 1 e 2 da escala de proficiência), (fonte: Secretaria Municipal de Educação – ano de 2016). </w:t>
      </w: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Estes indicadores são sistematizados nos gráficos que seguem, intuindo ilustrar</w:t>
      </w:r>
      <w:proofErr w:type="gramStart"/>
      <w:r w:rsidRPr="00D02307">
        <w:rPr>
          <w:rFonts w:ascii="Bookman Old Style" w:hAnsi="Bookman Old Style" w:cs="Times New Roman"/>
          <w:color w:val="000000" w:themeColor="text1"/>
          <w:sz w:val="24"/>
          <w:szCs w:val="24"/>
        </w:rPr>
        <w:t xml:space="preserve">  </w:t>
      </w:r>
      <w:proofErr w:type="gramEnd"/>
      <w:r w:rsidRPr="00D02307">
        <w:rPr>
          <w:rFonts w:ascii="Bookman Old Style" w:hAnsi="Bookman Old Style" w:cs="Times New Roman"/>
          <w:color w:val="000000" w:themeColor="text1"/>
          <w:sz w:val="24"/>
          <w:szCs w:val="24"/>
        </w:rPr>
        <w:t xml:space="preserve">as porcentagens com relação as metas pactuadas e as alcançadas, bem como a evolução nos anos seguintes.  </w:t>
      </w:r>
    </w:p>
    <w:p w:rsidR="00D02307" w:rsidRPr="00D02307" w:rsidRDefault="00D02307" w:rsidP="00D02307">
      <w:pPr>
        <w:jc w:val="center"/>
        <w:rPr>
          <w:rFonts w:ascii="Bookman Old Style" w:hAnsi="Bookman Old Style" w:cs="Times New Roman"/>
          <w:color w:val="000000" w:themeColor="text1"/>
          <w:sz w:val="24"/>
          <w:szCs w:val="24"/>
        </w:rPr>
      </w:pPr>
      <w:r w:rsidRPr="00D02307">
        <w:rPr>
          <w:rFonts w:ascii="Bookman Old Style" w:hAnsi="Bookman Old Style" w:cs="Times New Roman"/>
          <w:noProof/>
          <w:color w:val="000000" w:themeColor="text1"/>
          <w:sz w:val="24"/>
          <w:szCs w:val="24"/>
          <w:lang w:eastAsia="pt-BR"/>
        </w:rPr>
        <w:drawing>
          <wp:inline distT="0" distB="0" distL="0" distR="0">
            <wp:extent cx="4143375" cy="2286000"/>
            <wp:effectExtent l="19050" t="0" r="9525" b="0"/>
            <wp:docPr id="2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2307" w:rsidRPr="00D02307"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 xml:space="preserve">As sistematizações detalhadas no relatório condizem com parâmetros que convirjam para a possibilidade e realidade de alfabetização nos primeiros anos do ensino fundamental. E contribuem para ternos um panorama a respeito desta meta que detalhamos no Plano Municipal de Educação. Os indicadores </w:t>
      </w:r>
      <w:proofErr w:type="gramStart"/>
      <w:r w:rsidRPr="00D02307">
        <w:rPr>
          <w:rFonts w:ascii="Bookman Old Style" w:hAnsi="Bookman Old Style" w:cs="Times New Roman"/>
          <w:color w:val="000000" w:themeColor="text1"/>
          <w:sz w:val="24"/>
          <w:szCs w:val="24"/>
        </w:rPr>
        <w:t>5</w:t>
      </w:r>
      <w:proofErr w:type="gramEnd"/>
      <w:r w:rsidRPr="00D02307">
        <w:rPr>
          <w:rFonts w:ascii="Bookman Old Style" w:hAnsi="Bookman Old Style" w:cs="Times New Roman"/>
          <w:color w:val="000000" w:themeColor="text1"/>
          <w:sz w:val="24"/>
          <w:szCs w:val="24"/>
        </w:rPr>
        <w:t xml:space="preserve"> A e 5 B, tivemos o resultado alcançado cumprindo ao pactuado na meta para ambos, que são tangentes as áreas de leitura e escrita. Entretanto com relação ao indicador </w:t>
      </w:r>
      <w:proofErr w:type="gramStart"/>
      <w:r w:rsidRPr="00D02307">
        <w:rPr>
          <w:rFonts w:ascii="Bookman Old Style" w:hAnsi="Bookman Old Style" w:cs="Times New Roman"/>
          <w:color w:val="000000" w:themeColor="text1"/>
          <w:sz w:val="24"/>
          <w:szCs w:val="24"/>
        </w:rPr>
        <w:t>5</w:t>
      </w:r>
      <w:proofErr w:type="gramEnd"/>
      <w:r w:rsidRPr="00D02307">
        <w:rPr>
          <w:rFonts w:ascii="Bookman Old Style" w:hAnsi="Bookman Old Style" w:cs="Times New Roman"/>
          <w:color w:val="000000" w:themeColor="text1"/>
          <w:sz w:val="24"/>
          <w:szCs w:val="24"/>
        </w:rPr>
        <w:t xml:space="preserve"> C, que corresponde à área da matemática, os resultados alcançados (10%), ficaram aquém o pactuado na sua meta (0%). No momento da elaboração do </w:t>
      </w:r>
      <w:r w:rsidRPr="00D02307">
        <w:rPr>
          <w:rFonts w:ascii="Bookman Old Style" w:hAnsi="Bookman Old Style" w:cs="Times New Roman"/>
          <w:color w:val="000000" w:themeColor="text1"/>
          <w:sz w:val="24"/>
          <w:szCs w:val="24"/>
        </w:rPr>
        <w:lastRenderedPageBreak/>
        <w:t xml:space="preserve">monitoramento, especificamente com relação ao indicador </w:t>
      </w:r>
      <w:proofErr w:type="gramStart"/>
      <w:r w:rsidRPr="00D02307">
        <w:rPr>
          <w:rFonts w:ascii="Bookman Old Style" w:hAnsi="Bookman Old Style" w:cs="Times New Roman"/>
          <w:color w:val="000000" w:themeColor="text1"/>
          <w:sz w:val="24"/>
          <w:szCs w:val="24"/>
        </w:rPr>
        <w:t>5</w:t>
      </w:r>
      <w:proofErr w:type="gramEnd"/>
      <w:r w:rsidRPr="00D02307">
        <w:rPr>
          <w:rFonts w:ascii="Bookman Old Style" w:hAnsi="Bookman Old Style" w:cs="Times New Roman"/>
          <w:color w:val="000000" w:themeColor="text1"/>
          <w:sz w:val="24"/>
          <w:szCs w:val="24"/>
        </w:rPr>
        <w:t xml:space="preserve"> C, traçamos uma evolução contínua e futura, onde estabelecemos para o ano de 2019, alcançar ao proposto na meta (0%).</w:t>
      </w:r>
    </w:p>
    <w:p w:rsidR="00715B35" w:rsidRPr="00B3094D"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O relatório de monitoramento contribuiu para vislumbrarmos as questões a cerca da alfabetização nos três primeiros anos do ensino fundamental, e poder ter uma análise real e situacional da meta com os seus indicadores propostos.</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D02307" w:rsidRPr="00540B0B" w:rsidTr="00FA647B">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D02307" w:rsidRPr="00540B0B" w:rsidRDefault="00D02307" w:rsidP="00FA647B">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D02307" w:rsidRPr="00540B0B" w:rsidRDefault="00D02307"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D02307" w:rsidRPr="00540B0B" w:rsidRDefault="00D02307"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D02307" w:rsidRPr="00540B0B" w:rsidRDefault="00D02307" w:rsidP="00FA647B">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D02307" w:rsidRDefault="00D02307" w:rsidP="00FA647B">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D02307" w:rsidRPr="00540B0B" w:rsidRDefault="00D02307" w:rsidP="00FA647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D02307" w:rsidRPr="00D02307" w:rsidTr="00D0230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jc w:val="both"/>
              <w:rPr>
                <w:rFonts w:ascii="Calibri" w:eastAsia="Times New Roman" w:hAnsi="Calibri" w:cs="Calibri"/>
                <w:color w:val="000000"/>
                <w:lang w:eastAsia="pt-BR"/>
              </w:rPr>
            </w:pPr>
            <w:r w:rsidRPr="00D02307">
              <w:rPr>
                <w:rFonts w:ascii="Calibri" w:eastAsia="Times New Roman" w:hAnsi="Calibri" w:cs="Calibri"/>
                <w:color w:val="000000"/>
                <w:lang w:eastAsia="pt-BR"/>
              </w:rPr>
              <w:t>5.1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Incentivar a estruturação do ensino fundamental de nove anos com foco na organização de ciclo de alfabetização com duração de três anos, a fim de garantir a alfabetização plena de todas as crianças, no máximo, até o final do terceiro ano, tornando-se necessária a participação efetiva das mantenedoras.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F665B4" w:rsidP="00D0230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Realizada </w:t>
            </w:r>
          </w:p>
        </w:tc>
      </w:tr>
      <w:tr w:rsidR="00D02307" w:rsidRPr="00D02307" w:rsidTr="00D0230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jc w:val="both"/>
              <w:rPr>
                <w:rFonts w:ascii="Calibri" w:eastAsia="Times New Roman" w:hAnsi="Calibri" w:cs="Calibri"/>
                <w:color w:val="000000"/>
                <w:lang w:eastAsia="pt-BR"/>
              </w:rPr>
            </w:pPr>
            <w:r w:rsidRPr="00D02307">
              <w:rPr>
                <w:rFonts w:ascii="Calibri" w:eastAsia="Times New Roman" w:hAnsi="Calibri" w:cs="Calibri"/>
                <w:color w:val="000000"/>
                <w:lang w:eastAsia="pt-BR"/>
              </w:rPr>
              <w:t>5.2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Implantar e efetivar, em regime de colaboração com a união, programas de alfabetização, apoio pedagógico, a fim de garantir a alfabetização dos alunos, no máximo até o final do terceiro ano.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F665B4" w:rsidP="00D0230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D02307" w:rsidRPr="00D02307" w:rsidTr="00D0230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jc w:val="both"/>
              <w:rPr>
                <w:rFonts w:ascii="Calibri" w:eastAsia="Times New Roman" w:hAnsi="Calibri" w:cs="Calibri"/>
                <w:color w:val="000000"/>
                <w:lang w:eastAsia="pt-BR"/>
              </w:rPr>
            </w:pPr>
            <w:r w:rsidRPr="00D02307">
              <w:rPr>
                <w:rFonts w:ascii="Calibri" w:eastAsia="Times New Roman" w:hAnsi="Calibri" w:cs="Calibri"/>
                <w:color w:val="000000"/>
                <w:lang w:eastAsia="pt-BR"/>
              </w:rPr>
              <w:t>5.3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Oferecer aos estudantes de 1º a 3º ano em turno contrário, ações com foco na alfabetização, com profissionais capacitados para este fim.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 xml:space="preserve">Gradativamente ano a ano, até 2024.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F665B4" w:rsidP="00D0230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D02307" w:rsidRPr="00D02307" w:rsidTr="00D0230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jc w:val="both"/>
              <w:rPr>
                <w:rFonts w:ascii="Calibri" w:eastAsia="Times New Roman" w:hAnsi="Calibri" w:cs="Calibri"/>
                <w:color w:val="000000"/>
                <w:lang w:eastAsia="pt-BR"/>
              </w:rPr>
            </w:pPr>
            <w:r w:rsidRPr="00D02307">
              <w:rPr>
                <w:rFonts w:ascii="Calibri" w:eastAsia="Times New Roman" w:hAnsi="Calibri" w:cs="Calibri"/>
                <w:color w:val="000000"/>
                <w:lang w:eastAsia="pt-BR"/>
              </w:rPr>
              <w:t>5.4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D02307" w:rsidRPr="00D02307" w:rsidRDefault="00D02307" w:rsidP="00F665B4">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 xml:space="preserve">Fomentar o desenvolvimento de tecnologias educacionais e de inovação das práticas pedagógicas nos sistemas de ensino que assegurem a alfabetização e favoreçam a melhoria do fluxo escolar e a aprendizagem dos estudantes, consideradas as diversas abordagens metodológicas e sua efetividade, por meio do suprimento de recursos tecnológicos e humanos </w:t>
            </w:r>
            <w:r w:rsidRPr="00D02307">
              <w:rPr>
                <w:rFonts w:ascii="Calibri" w:eastAsia="Times New Roman" w:hAnsi="Calibri" w:cs="Calibri"/>
                <w:color w:val="000000"/>
                <w:lang w:eastAsia="pt-BR"/>
              </w:rPr>
              <w:lastRenderedPageBreak/>
              <w:t>com formação específica para as atividades das novas tecnologias, bem como com proporcionalidade do número de estudantes e computadores disponíveis por turma.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lastRenderedPageBreak/>
              <w:t xml:space="preserve">Gradativamente ano a ano, até 2024. </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D02307" w:rsidP="00D02307">
            <w:pPr>
              <w:spacing w:after="0" w:line="240" w:lineRule="auto"/>
              <w:rPr>
                <w:rFonts w:ascii="Calibri" w:eastAsia="Times New Roman" w:hAnsi="Calibri" w:cs="Calibri"/>
                <w:color w:val="000000"/>
                <w:lang w:eastAsia="pt-BR"/>
              </w:rPr>
            </w:pPr>
            <w:r w:rsidRPr="00D02307">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D02307" w:rsidRPr="00D02307" w:rsidRDefault="00F665B4" w:rsidP="00D0230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Realizada/em andamento</w:t>
            </w:r>
          </w:p>
        </w:tc>
      </w:tr>
    </w:tbl>
    <w:p w:rsidR="00715B35" w:rsidRPr="00D02307" w:rsidRDefault="00715B35" w:rsidP="00D02307">
      <w:pPr>
        <w:jc w:val="both"/>
        <w:rPr>
          <w:rFonts w:ascii="Bookman Old Style" w:hAnsi="Bookman Old Style" w:cs="Times New Roman"/>
          <w:color w:val="000000" w:themeColor="text1"/>
          <w:sz w:val="24"/>
          <w:szCs w:val="24"/>
        </w:rPr>
      </w:pPr>
    </w:p>
    <w:p w:rsidR="00D02307" w:rsidRPr="00D02307" w:rsidRDefault="00D02307" w:rsidP="00D02307">
      <w:pPr>
        <w:jc w:val="both"/>
        <w:rPr>
          <w:rFonts w:ascii="Bookman Old Style" w:hAnsi="Bookman Old Style" w:cs="Times New Roman"/>
          <w:b/>
          <w:color w:val="000000" w:themeColor="text1"/>
          <w:sz w:val="24"/>
          <w:szCs w:val="24"/>
        </w:rPr>
      </w:pPr>
      <w:r w:rsidRPr="00D02307">
        <w:rPr>
          <w:rFonts w:ascii="Bookman Old Style" w:hAnsi="Bookman Old Style" w:cs="Times New Roman"/>
          <w:b/>
          <w:color w:val="000000" w:themeColor="text1"/>
          <w:sz w:val="24"/>
          <w:szCs w:val="24"/>
        </w:rPr>
        <w:t>Conclusão a respeito da Meta:</w:t>
      </w:r>
    </w:p>
    <w:p w:rsidR="00D02307" w:rsidRPr="00D02307" w:rsidRDefault="00D02307" w:rsidP="00D02307">
      <w:pPr>
        <w:pStyle w:val="PargrafodaLista"/>
        <w:jc w:val="both"/>
        <w:rPr>
          <w:rFonts w:ascii="Bookman Old Style" w:hAnsi="Bookman Old Style" w:cs="Times New Roman"/>
          <w:color w:val="000000" w:themeColor="text1"/>
          <w:sz w:val="24"/>
          <w:szCs w:val="24"/>
        </w:rPr>
      </w:pPr>
    </w:p>
    <w:p w:rsidR="00A347B6" w:rsidRDefault="00D02307" w:rsidP="00D02307">
      <w:pPr>
        <w:pStyle w:val="PargrafodaLista"/>
        <w:ind w:left="0" w:firstLine="567"/>
        <w:jc w:val="both"/>
        <w:rPr>
          <w:rFonts w:ascii="Bookman Old Style" w:hAnsi="Bookman Old Style" w:cs="Times New Roman"/>
          <w:color w:val="000000" w:themeColor="text1"/>
          <w:sz w:val="24"/>
          <w:szCs w:val="24"/>
        </w:rPr>
      </w:pPr>
      <w:r w:rsidRPr="00D02307">
        <w:rPr>
          <w:rFonts w:ascii="Bookman Old Style" w:hAnsi="Bookman Old Style" w:cs="Times New Roman"/>
          <w:color w:val="000000" w:themeColor="text1"/>
          <w:sz w:val="24"/>
          <w:szCs w:val="24"/>
        </w:rPr>
        <w:t xml:space="preserve">Podemos inferir com relação à meta número 05 do Plano Municipal de Educação, que a alfabetização nos três primeiros anos do ensino fundamental é um desafio, pois trata este período como um único e sólido bloco de estudo, onde o estudante terá que obrigatoriamente dominar a escrita, a leitura e a matemática (cálculos básicos e elementares). Este processo se dará de forma continua e planejada, uma vez que é uma etapa que se estende por três anos. Podemos colocar também que é imprescindível e elementar o investimento na formação dos docentes, nas atividades pedagógicas de </w:t>
      </w:r>
      <w:proofErr w:type="spellStart"/>
      <w:r w:rsidRPr="00D02307">
        <w:rPr>
          <w:rFonts w:ascii="Bookman Old Style" w:hAnsi="Bookman Old Style" w:cs="Times New Roman"/>
          <w:color w:val="000000" w:themeColor="text1"/>
          <w:sz w:val="24"/>
          <w:szCs w:val="24"/>
        </w:rPr>
        <w:t>contraturno</w:t>
      </w:r>
      <w:proofErr w:type="spellEnd"/>
      <w:r w:rsidRPr="00D02307">
        <w:rPr>
          <w:rFonts w:ascii="Bookman Old Style" w:hAnsi="Bookman Old Style" w:cs="Times New Roman"/>
          <w:color w:val="000000" w:themeColor="text1"/>
          <w:sz w:val="24"/>
          <w:szCs w:val="24"/>
        </w:rPr>
        <w:t>, objetivando acelerar e melhorar o processo de aprendizagem do alunado desta etapa. Também buscar parcerias sob a forma de regime de colaboração com estado ou união para a troca de experiências, conhecimento e informação, com vistas a melhorar continuamente as abordagens pedagógicas no âmbito da sala de aula.</w:t>
      </w:r>
    </w:p>
    <w:p w:rsidR="00715B35" w:rsidRDefault="00715B35"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Default="00A347B6" w:rsidP="00CB73DC">
      <w:pPr>
        <w:pStyle w:val="PargrafodaLista"/>
        <w:jc w:val="both"/>
        <w:rPr>
          <w:rFonts w:ascii="Bookman Old Style" w:hAnsi="Bookman Old Style" w:cs="Times New Roman"/>
          <w:color w:val="000000" w:themeColor="text1"/>
          <w:sz w:val="24"/>
          <w:szCs w:val="24"/>
        </w:rPr>
      </w:pPr>
    </w:p>
    <w:p w:rsidR="00A347B6" w:rsidRPr="00B3094D" w:rsidRDefault="00A347B6" w:rsidP="00CB73DC">
      <w:pPr>
        <w:pStyle w:val="PargrafodaLista"/>
        <w:jc w:val="both"/>
        <w:rPr>
          <w:rFonts w:ascii="Bookman Old Style" w:hAnsi="Bookman Old Style" w:cs="Times New Roman"/>
          <w:color w:val="000000" w:themeColor="text1"/>
          <w:sz w:val="24"/>
          <w:szCs w:val="24"/>
        </w:rPr>
      </w:pPr>
    </w:p>
    <w:p w:rsidR="00715B35" w:rsidRPr="00B3094D" w:rsidRDefault="00715B35" w:rsidP="00CB73DC">
      <w:pPr>
        <w:pStyle w:val="PargrafodaLista"/>
        <w:jc w:val="both"/>
        <w:rPr>
          <w:rFonts w:ascii="Bookman Old Style" w:hAnsi="Bookman Old Style" w:cs="Times New Roman"/>
          <w:color w:val="000000" w:themeColor="text1"/>
          <w:sz w:val="24"/>
          <w:szCs w:val="24"/>
        </w:rPr>
      </w:pPr>
    </w:p>
    <w:p w:rsidR="00F01C84" w:rsidRPr="00D81FEF" w:rsidRDefault="00F01C84" w:rsidP="00D81FEF">
      <w:pPr>
        <w:pStyle w:val="Ttulo1"/>
        <w:numPr>
          <w:ilvl w:val="0"/>
          <w:numId w:val="24"/>
        </w:numPr>
        <w:rPr>
          <w:rFonts w:ascii="Bookman Old Style" w:hAnsi="Bookman Old Style"/>
          <w:color w:val="auto"/>
        </w:rPr>
      </w:pPr>
      <w:bookmarkStart w:id="9" w:name="_Toc497809475"/>
      <w:r w:rsidRPr="00D81FEF">
        <w:rPr>
          <w:rFonts w:ascii="Bookman Old Style" w:hAnsi="Bookman Old Style"/>
          <w:color w:val="auto"/>
        </w:rPr>
        <w:lastRenderedPageBreak/>
        <w:t>Meta sobre Educação Integral</w:t>
      </w:r>
      <w:bookmarkEnd w:id="9"/>
    </w:p>
    <w:p w:rsidR="00D81FEF" w:rsidRPr="00D81FEF" w:rsidRDefault="00D81FEF" w:rsidP="00D81FEF"/>
    <w:p w:rsidR="00A158C9" w:rsidRPr="00B3094D" w:rsidRDefault="00A158C9" w:rsidP="007D1A06">
      <w:pP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FA647B">
        <w:rPr>
          <w:rFonts w:ascii="Bookman Old Style" w:hAnsi="Bookman Old Style" w:cs="Times New Roman"/>
          <w:b/>
          <w:color w:val="000000" w:themeColor="text1"/>
          <w:sz w:val="24"/>
          <w:szCs w:val="24"/>
        </w:rPr>
        <w:t xml:space="preserve">nº. 06: </w:t>
      </w:r>
      <w:r w:rsidR="00FA647B" w:rsidRPr="00FA647B">
        <w:rPr>
          <w:rFonts w:ascii="Bookman Old Style" w:hAnsi="Bookman Old Style" w:cs="Times New Roman"/>
          <w:b/>
          <w:color w:val="000000" w:themeColor="text1"/>
          <w:sz w:val="24"/>
          <w:szCs w:val="24"/>
        </w:rPr>
        <w:t>Oferecer educação em tempo integral em, no mínimo 50% das escolas públicas de forma a atender, pelo menos, 25% dos alunos da educação básica.</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FA647B" w:rsidRPr="00D049A9" w:rsidTr="00FA647B">
        <w:trPr>
          <w:gridBefore w:val="1"/>
          <w:wBefore w:w="1456" w:type="dxa"/>
          <w:trHeight w:val="948"/>
        </w:trPr>
        <w:tc>
          <w:tcPr>
            <w:tcW w:w="1330" w:type="dxa"/>
            <w:vAlign w:val="center"/>
          </w:tcPr>
          <w:p w:rsidR="00FA647B" w:rsidRPr="00D049A9" w:rsidRDefault="00FA647B" w:rsidP="00FA647B">
            <w:pPr>
              <w:rPr>
                <w:rFonts w:ascii="Bookman Old Style" w:hAnsi="Bookman Old Style" w:cs="Times New Roman"/>
                <w:color w:val="000000" w:themeColor="text1"/>
                <w:sz w:val="20"/>
                <w:szCs w:val="20"/>
              </w:rPr>
            </w:pPr>
          </w:p>
          <w:p w:rsidR="00FA647B"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6</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FA647B" w:rsidRPr="00D049A9" w:rsidRDefault="00FA647B" w:rsidP="00FA647B">
            <w:pPr>
              <w:jc w:val="center"/>
              <w:rPr>
                <w:rFonts w:ascii="Bookman Old Style" w:hAnsi="Bookman Old Style" w:cs="Times New Roman"/>
                <w:color w:val="000000" w:themeColor="text1"/>
                <w:sz w:val="20"/>
                <w:szCs w:val="20"/>
              </w:rPr>
            </w:pPr>
          </w:p>
        </w:tc>
        <w:tc>
          <w:tcPr>
            <w:tcW w:w="7640" w:type="dxa"/>
            <w:gridSpan w:val="3"/>
            <w:vAlign w:val="center"/>
          </w:tcPr>
          <w:p w:rsidR="00FA647B" w:rsidRPr="00D049A9" w:rsidRDefault="00FA647B" w:rsidP="00FA647B">
            <w:pPr>
              <w:jc w:val="center"/>
              <w:rPr>
                <w:rFonts w:ascii="Bookman Old Style" w:hAnsi="Bookman Old Style" w:cs="Times New Roman"/>
                <w:b/>
                <w:color w:val="000000" w:themeColor="text1"/>
                <w:sz w:val="20"/>
                <w:szCs w:val="20"/>
              </w:rPr>
            </w:pPr>
            <w:r w:rsidRPr="00FA647B">
              <w:rPr>
                <w:rFonts w:ascii="Bookman Old Style" w:hAnsi="Bookman Old Style" w:cs="Times New Roman"/>
                <w:b/>
                <w:color w:val="000000" w:themeColor="text1"/>
                <w:sz w:val="20"/>
                <w:szCs w:val="20"/>
              </w:rPr>
              <w:t>Percentual de alunos da educação básica pública em tempo integral.</w:t>
            </w:r>
          </w:p>
        </w:tc>
      </w:tr>
      <w:tr w:rsidR="00FA647B" w:rsidRPr="00D049A9" w:rsidTr="00FA647B">
        <w:tblPrEx>
          <w:tblCellMar>
            <w:left w:w="108" w:type="dxa"/>
            <w:right w:w="108" w:type="dxa"/>
          </w:tblCellMar>
          <w:tblLook w:val="04A0"/>
        </w:tblPrEx>
        <w:trPr>
          <w:gridBefore w:val="1"/>
          <w:wBefore w:w="1456" w:type="dxa"/>
          <w:trHeight w:val="325"/>
        </w:trPr>
        <w:tc>
          <w:tcPr>
            <w:tcW w:w="1330" w:type="dxa"/>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FA647B" w:rsidRPr="00D049A9" w:rsidTr="00FA647B">
        <w:trPr>
          <w:trHeight w:val="284"/>
        </w:trPr>
        <w:tc>
          <w:tcPr>
            <w:tcW w:w="1456" w:type="dxa"/>
            <w:vMerge w:val="restart"/>
            <w:tcBorders>
              <w:top w:val="nil"/>
              <w:left w:val="nil"/>
              <w:bottom w:val="nil"/>
            </w:tcBorders>
            <w:shd w:val="clear" w:color="auto" w:fill="auto"/>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330" w:type="dxa"/>
            <w:vMerge w:val="restart"/>
            <w:vAlign w:val="center"/>
          </w:tcPr>
          <w:p w:rsidR="00FA647B" w:rsidRPr="00D049A9" w:rsidRDefault="00FA647B"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r w:rsidRPr="00D049A9">
              <w:rPr>
                <w:rFonts w:ascii="Bookman Old Style" w:hAnsi="Bookman Old Style" w:cs="Times New Roman"/>
                <w:b/>
                <w:color w:val="000000" w:themeColor="text1"/>
                <w:sz w:val="20"/>
                <w:szCs w:val="20"/>
              </w:rPr>
              <w:t>%</w:t>
            </w:r>
          </w:p>
        </w:tc>
        <w:tc>
          <w:tcPr>
            <w:tcW w:w="1292" w:type="dxa"/>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27,60 </w:t>
            </w:r>
            <w:r w:rsidRPr="00D049A9">
              <w:rPr>
                <w:rFonts w:ascii="Bookman Old Style" w:hAnsi="Bookman Old Style" w:cs="Times New Roman"/>
                <w:b/>
                <w:color w:val="000000" w:themeColor="text1"/>
                <w:sz w:val="20"/>
                <w:szCs w:val="20"/>
              </w:rPr>
              <w:t>%</w:t>
            </w:r>
          </w:p>
        </w:tc>
        <w:tc>
          <w:tcPr>
            <w:tcW w:w="4649" w:type="dxa"/>
            <w:vAlign w:val="center"/>
          </w:tcPr>
          <w:p w:rsidR="00FA647B" w:rsidRPr="00D049A9" w:rsidRDefault="00FA647B" w:rsidP="00FA647B">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r w:rsidRPr="00D049A9">
              <w:rPr>
                <w:rFonts w:ascii="Bookman Old Style" w:hAnsi="Bookman Old Style" w:cs="Times New Roman"/>
                <w:color w:val="000000" w:themeColor="text1"/>
                <w:sz w:val="20"/>
                <w:szCs w:val="20"/>
              </w:rPr>
              <w:t xml:space="preserve"> </w:t>
            </w:r>
          </w:p>
        </w:tc>
      </w:tr>
      <w:tr w:rsidR="00FA647B" w:rsidRPr="00D049A9" w:rsidTr="00FA647B">
        <w:trPr>
          <w:trHeight w:val="284"/>
        </w:trPr>
        <w:tc>
          <w:tcPr>
            <w:tcW w:w="1456" w:type="dxa"/>
            <w:vMerge/>
            <w:tcBorders>
              <w:left w:val="nil"/>
              <w:bottom w:val="nil"/>
            </w:tcBorders>
            <w:shd w:val="clear" w:color="auto" w:fill="auto"/>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330" w:type="dxa"/>
            <w:vMerge/>
            <w:vAlign w:val="center"/>
          </w:tcPr>
          <w:p w:rsidR="00FA647B" w:rsidRPr="00D049A9" w:rsidRDefault="00FA647B" w:rsidP="00FA647B">
            <w:pPr>
              <w:jc w:val="center"/>
              <w:rPr>
                <w:rFonts w:ascii="Bookman Old Style" w:hAnsi="Bookman Old Style" w:cs="Times New Roman"/>
                <w:b/>
                <w:color w:val="000000" w:themeColor="text1"/>
                <w:sz w:val="20"/>
                <w:szCs w:val="20"/>
              </w:rPr>
            </w:pPr>
          </w:p>
        </w:tc>
        <w:tc>
          <w:tcPr>
            <w:tcW w:w="1292" w:type="dxa"/>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69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p>
        </w:tc>
        <w:tc>
          <w:tcPr>
            <w:tcW w:w="4649" w:type="dxa"/>
            <w:vAlign w:val="center"/>
          </w:tcPr>
          <w:p w:rsidR="00FA647B" w:rsidRPr="00D049A9" w:rsidRDefault="00FA647B" w:rsidP="00FA647B">
            <w:pPr>
              <w:jc w:val="both"/>
              <w:rPr>
                <w:rFonts w:ascii="Bookman Old Style" w:hAnsi="Bookman Old Style" w:cs="Times New Roman"/>
                <w:color w:val="000000" w:themeColor="text1"/>
                <w:sz w:val="20"/>
                <w:szCs w:val="20"/>
              </w:rPr>
            </w:pPr>
          </w:p>
        </w:tc>
      </w:tr>
    </w:tbl>
    <w:p w:rsidR="00704102"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FA647B" w:rsidRPr="00D049A9" w:rsidTr="00FA647B">
        <w:trPr>
          <w:gridBefore w:val="1"/>
          <w:wBefore w:w="1456" w:type="dxa"/>
          <w:trHeight w:val="948"/>
        </w:trPr>
        <w:tc>
          <w:tcPr>
            <w:tcW w:w="1330" w:type="dxa"/>
            <w:vAlign w:val="center"/>
          </w:tcPr>
          <w:p w:rsidR="00FA647B" w:rsidRPr="00D049A9" w:rsidRDefault="00FA647B" w:rsidP="00FA647B">
            <w:pPr>
              <w:rPr>
                <w:rFonts w:ascii="Bookman Old Style" w:hAnsi="Bookman Old Style" w:cs="Times New Roman"/>
                <w:color w:val="000000" w:themeColor="text1"/>
                <w:sz w:val="20"/>
                <w:szCs w:val="20"/>
              </w:rPr>
            </w:pPr>
          </w:p>
          <w:p w:rsidR="00FA647B"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6</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FA647B" w:rsidRPr="00D049A9" w:rsidRDefault="00FA647B" w:rsidP="00FA647B">
            <w:pPr>
              <w:jc w:val="center"/>
              <w:rPr>
                <w:rFonts w:ascii="Bookman Old Style" w:hAnsi="Bookman Old Style" w:cs="Times New Roman"/>
                <w:color w:val="000000" w:themeColor="text1"/>
                <w:sz w:val="20"/>
                <w:szCs w:val="20"/>
              </w:rPr>
            </w:pPr>
          </w:p>
        </w:tc>
        <w:tc>
          <w:tcPr>
            <w:tcW w:w="7640" w:type="dxa"/>
            <w:gridSpan w:val="3"/>
            <w:vAlign w:val="center"/>
          </w:tcPr>
          <w:p w:rsidR="00FA647B" w:rsidRPr="00D049A9" w:rsidRDefault="00FA647B" w:rsidP="00FA647B">
            <w:pPr>
              <w:jc w:val="center"/>
              <w:rPr>
                <w:rFonts w:ascii="Bookman Old Style" w:hAnsi="Bookman Old Style" w:cs="Times New Roman"/>
                <w:b/>
                <w:color w:val="000000" w:themeColor="text1"/>
                <w:sz w:val="20"/>
                <w:szCs w:val="20"/>
              </w:rPr>
            </w:pPr>
            <w:r w:rsidRPr="00FA647B">
              <w:rPr>
                <w:rFonts w:ascii="Bookman Old Style" w:hAnsi="Bookman Old Style" w:cs="Times New Roman"/>
                <w:b/>
                <w:color w:val="000000" w:themeColor="text1"/>
                <w:sz w:val="20"/>
                <w:szCs w:val="20"/>
              </w:rPr>
              <w:t xml:space="preserve">Percentual de escolas públicas com ao menos um aluno que </w:t>
            </w:r>
            <w:proofErr w:type="gramStart"/>
            <w:r w:rsidRPr="00FA647B">
              <w:rPr>
                <w:rFonts w:ascii="Bookman Old Style" w:hAnsi="Bookman Old Style" w:cs="Times New Roman"/>
                <w:b/>
                <w:color w:val="000000" w:themeColor="text1"/>
                <w:sz w:val="20"/>
                <w:szCs w:val="20"/>
              </w:rPr>
              <w:t>permanece no mínimo 7 horas diárias</w:t>
            </w:r>
            <w:proofErr w:type="gramEnd"/>
            <w:r w:rsidRPr="00FA647B">
              <w:rPr>
                <w:rFonts w:ascii="Bookman Old Style" w:hAnsi="Bookman Old Style" w:cs="Times New Roman"/>
                <w:b/>
                <w:color w:val="000000" w:themeColor="text1"/>
                <w:sz w:val="20"/>
                <w:szCs w:val="20"/>
              </w:rPr>
              <w:t xml:space="preserve"> em atividades escolares.</w:t>
            </w:r>
          </w:p>
        </w:tc>
      </w:tr>
      <w:tr w:rsidR="00FA647B" w:rsidRPr="00D049A9" w:rsidTr="00FA647B">
        <w:tblPrEx>
          <w:tblCellMar>
            <w:left w:w="108" w:type="dxa"/>
            <w:right w:w="108" w:type="dxa"/>
          </w:tblCellMar>
          <w:tblLook w:val="04A0"/>
        </w:tblPrEx>
        <w:trPr>
          <w:gridBefore w:val="1"/>
          <w:wBefore w:w="1456" w:type="dxa"/>
          <w:trHeight w:val="325"/>
        </w:trPr>
        <w:tc>
          <w:tcPr>
            <w:tcW w:w="1330" w:type="dxa"/>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FA647B" w:rsidRPr="00D049A9" w:rsidTr="00FA647B">
        <w:trPr>
          <w:trHeight w:val="284"/>
        </w:trPr>
        <w:tc>
          <w:tcPr>
            <w:tcW w:w="1456" w:type="dxa"/>
            <w:vMerge w:val="restart"/>
            <w:tcBorders>
              <w:top w:val="nil"/>
              <w:left w:val="nil"/>
              <w:bottom w:val="nil"/>
            </w:tcBorders>
            <w:shd w:val="clear" w:color="auto" w:fill="auto"/>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330" w:type="dxa"/>
            <w:vMerge w:val="restart"/>
            <w:vAlign w:val="center"/>
          </w:tcPr>
          <w:p w:rsidR="00FA647B" w:rsidRPr="00D049A9" w:rsidRDefault="00FA647B"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r w:rsidRPr="00D049A9">
              <w:rPr>
                <w:rFonts w:ascii="Bookman Old Style" w:hAnsi="Bookman Old Style" w:cs="Times New Roman"/>
                <w:b/>
                <w:color w:val="000000" w:themeColor="text1"/>
                <w:sz w:val="20"/>
                <w:szCs w:val="20"/>
              </w:rPr>
              <w:t>%</w:t>
            </w:r>
          </w:p>
        </w:tc>
        <w:tc>
          <w:tcPr>
            <w:tcW w:w="1292" w:type="dxa"/>
            <w:vAlign w:val="center"/>
          </w:tcPr>
          <w:p w:rsidR="00FA647B" w:rsidRPr="00D049A9" w:rsidRDefault="00FA647B" w:rsidP="00FA647B">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FA647B" w:rsidRPr="00D049A9" w:rsidRDefault="00FA647B"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 xml:space="preserve">25,00 </w:t>
            </w:r>
            <w:r w:rsidRPr="00D049A9">
              <w:rPr>
                <w:rFonts w:ascii="Bookman Old Style" w:hAnsi="Bookman Old Style" w:cs="Times New Roman"/>
                <w:b/>
                <w:color w:val="000000" w:themeColor="text1"/>
                <w:sz w:val="20"/>
                <w:szCs w:val="20"/>
              </w:rPr>
              <w:t>%</w:t>
            </w:r>
          </w:p>
        </w:tc>
        <w:tc>
          <w:tcPr>
            <w:tcW w:w="4649" w:type="dxa"/>
            <w:vAlign w:val="center"/>
          </w:tcPr>
          <w:p w:rsidR="00FA647B" w:rsidRPr="00D049A9" w:rsidRDefault="00FA647B" w:rsidP="00FA647B">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r w:rsidRPr="00D049A9">
              <w:rPr>
                <w:rFonts w:ascii="Bookman Old Style" w:hAnsi="Bookman Old Style" w:cs="Times New Roman"/>
                <w:color w:val="000000" w:themeColor="text1"/>
                <w:sz w:val="20"/>
                <w:szCs w:val="20"/>
              </w:rPr>
              <w:t xml:space="preserve"> </w:t>
            </w:r>
          </w:p>
        </w:tc>
      </w:tr>
      <w:tr w:rsidR="00FA647B" w:rsidRPr="00D049A9" w:rsidTr="00FA647B">
        <w:trPr>
          <w:trHeight w:val="284"/>
        </w:trPr>
        <w:tc>
          <w:tcPr>
            <w:tcW w:w="1456" w:type="dxa"/>
            <w:vMerge/>
            <w:tcBorders>
              <w:left w:val="nil"/>
              <w:bottom w:val="nil"/>
            </w:tcBorders>
            <w:shd w:val="clear" w:color="auto" w:fill="auto"/>
            <w:vAlign w:val="center"/>
          </w:tcPr>
          <w:p w:rsidR="00FA647B" w:rsidRPr="00D049A9" w:rsidRDefault="00FA647B" w:rsidP="00FA647B">
            <w:pPr>
              <w:jc w:val="center"/>
              <w:rPr>
                <w:rFonts w:ascii="Bookman Old Style" w:hAnsi="Bookman Old Style" w:cs="Times New Roman"/>
                <w:color w:val="000000" w:themeColor="text1"/>
                <w:sz w:val="20"/>
                <w:szCs w:val="20"/>
              </w:rPr>
            </w:pPr>
          </w:p>
        </w:tc>
        <w:tc>
          <w:tcPr>
            <w:tcW w:w="1330" w:type="dxa"/>
            <w:vMerge/>
            <w:vAlign w:val="center"/>
          </w:tcPr>
          <w:p w:rsidR="00FA647B" w:rsidRPr="00D049A9" w:rsidRDefault="00FA647B" w:rsidP="00FA647B">
            <w:pPr>
              <w:jc w:val="center"/>
              <w:rPr>
                <w:rFonts w:ascii="Bookman Old Style" w:hAnsi="Bookman Old Style" w:cs="Times New Roman"/>
                <w:b/>
                <w:color w:val="000000" w:themeColor="text1"/>
                <w:sz w:val="20"/>
                <w:szCs w:val="20"/>
              </w:rPr>
            </w:pPr>
          </w:p>
        </w:tc>
        <w:tc>
          <w:tcPr>
            <w:tcW w:w="1292" w:type="dxa"/>
            <w:vAlign w:val="center"/>
          </w:tcPr>
          <w:p w:rsidR="00FA647B" w:rsidRPr="00D049A9" w:rsidRDefault="00C00882" w:rsidP="00FA647B">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FA647B" w:rsidRPr="00D049A9" w:rsidRDefault="00C00882" w:rsidP="00FA647B">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4649" w:type="dxa"/>
            <w:vAlign w:val="center"/>
          </w:tcPr>
          <w:p w:rsidR="00FA647B" w:rsidRPr="00D049A9" w:rsidRDefault="00C00882" w:rsidP="00FA647B">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Fonte: Secretaria Municipal de Educação.</w:t>
            </w:r>
          </w:p>
        </w:tc>
      </w:tr>
    </w:tbl>
    <w:p w:rsidR="00FA647B" w:rsidRDefault="00FA647B" w:rsidP="002E00DD">
      <w:pPr>
        <w:jc w:val="both"/>
        <w:rPr>
          <w:rFonts w:ascii="Bookman Old Style" w:hAnsi="Bookman Old Style" w:cs="Times New Roman"/>
          <w:color w:val="000000" w:themeColor="text1"/>
          <w:sz w:val="24"/>
          <w:szCs w:val="24"/>
        </w:rPr>
      </w:pPr>
    </w:p>
    <w:p w:rsidR="00C00882" w:rsidRPr="00C00882" w:rsidRDefault="00C00882" w:rsidP="00C00882">
      <w:pPr>
        <w:jc w:val="both"/>
        <w:rPr>
          <w:rFonts w:ascii="Bookman Old Style" w:hAnsi="Bookman Old Style" w:cs="Times New Roman"/>
          <w:b/>
          <w:color w:val="000000" w:themeColor="text1"/>
          <w:sz w:val="24"/>
          <w:szCs w:val="24"/>
        </w:rPr>
      </w:pPr>
      <w:r w:rsidRPr="00C00882">
        <w:rPr>
          <w:rFonts w:ascii="Bookman Old Style" w:hAnsi="Bookman Old Style" w:cs="Times New Roman"/>
          <w:b/>
          <w:color w:val="000000" w:themeColor="text1"/>
          <w:sz w:val="24"/>
          <w:szCs w:val="24"/>
        </w:rPr>
        <w:t>Contextualização da Meta:</w:t>
      </w:r>
    </w:p>
    <w:p w:rsidR="00C00882" w:rsidRPr="00C00882" w:rsidRDefault="00C00882" w:rsidP="00C00882">
      <w:pPr>
        <w:ind w:firstLine="567"/>
        <w:jc w:val="both"/>
        <w:rPr>
          <w:rFonts w:ascii="Bookman Old Style" w:hAnsi="Bookman Old Style" w:cs="Times New Roman"/>
          <w:color w:val="000000" w:themeColor="text1"/>
          <w:sz w:val="24"/>
          <w:szCs w:val="24"/>
        </w:rPr>
      </w:pPr>
      <w:r w:rsidRPr="00C00882">
        <w:rPr>
          <w:rFonts w:ascii="Bookman Old Style" w:hAnsi="Bookman Old Style" w:cs="Times New Roman"/>
          <w:color w:val="000000" w:themeColor="text1"/>
          <w:sz w:val="24"/>
          <w:szCs w:val="24"/>
        </w:rPr>
        <w:t xml:space="preserve">A meta número 06 do Plano Municipal de Educação, detalha no seu conteúdo a respeito da oferta de educação em tempo integral, minimamente em 50% das escolas públicas e 25% das escolas de educação básica. Em se tratando da realidade local de Paulo Bento, a educação na sua forma integral </w:t>
      </w:r>
      <w:proofErr w:type="spellStart"/>
      <w:r w:rsidRPr="00C00882">
        <w:rPr>
          <w:rFonts w:ascii="Bookman Old Style" w:hAnsi="Bookman Old Style" w:cs="Times New Roman"/>
          <w:color w:val="000000" w:themeColor="text1"/>
          <w:sz w:val="24"/>
          <w:szCs w:val="24"/>
        </w:rPr>
        <w:t>exponencia</w:t>
      </w:r>
      <w:proofErr w:type="spellEnd"/>
      <w:r w:rsidRPr="00C00882">
        <w:rPr>
          <w:rFonts w:ascii="Bookman Old Style" w:hAnsi="Bookman Old Style" w:cs="Times New Roman"/>
          <w:color w:val="000000" w:themeColor="text1"/>
          <w:sz w:val="24"/>
          <w:szCs w:val="24"/>
        </w:rPr>
        <w:t xml:space="preserve"> de forma considerável e qualitativa o aprendizado dos estudantes, propiciando-os a complementação das temáticas desenvolvidas no âmbito da sala de aula. O turno integral também propicia aos estudantes (ensino fundamental e educação infantil), a possibilidade de </w:t>
      </w:r>
      <w:r w:rsidRPr="00C00882">
        <w:rPr>
          <w:rFonts w:ascii="Bookman Old Style" w:hAnsi="Bookman Old Style" w:cs="Times New Roman"/>
          <w:color w:val="000000" w:themeColor="text1"/>
          <w:sz w:val="24"/>
          <w:szCs w:val="24"/>
        </w:rPr>
        <w:lastRenderedPageBreak/>
        <w:t>vivências sócio-educativas em tempo integral, contribuirá para a formação do cidadão imbuído na sociedade.</w:t>
      </w:r>
    </w:p>
    <w:p w:rsidR="00C00882" w:rsidRPr="00C00882" w:rsidRDefault="00C00882" w:rsidP="00C00882">
      <w:pPr>
        <w:ind w:firstLine="567"/>
        <w:jc w:val="both"/>
        <w:rPr>
          <w:rFonts w:ascii="Bookman Old Style" w:hAnsi="Bookman Old Style" w:cs="Times New Roman"/>
          <w:color w:val="000000" w:themeColor="text1"/>
          <w:sz w:val="24"/>
          <w:szCs w:val="24"/>
        </w:rPr>
      </w:pPr>
      <w:r w:rsidRPr="00C00882">
        <w:rPr>
          <w:rFonts w:ascii="Bookman Old Style" w:hAnsi="Bookman Old Style" w:cs="Times New Roman"/>
          <w:color w:val="000000" w:themeColor="text1"/>
          <w:sz w:val="24"/>
          <w:szCs w:val="24"/>
        </w:rPr>
        <w:t xml:space="preserve">As estratégias previstas para a meta (06) ensejam convergirem para explicitarem a trazerem a luz, as ações previstas para tornar possível a implantação e consolidação da educação em tempo integral nas escolas municipais. Prevendo na sua gênese aspectos práticos e conceituais que irão de forma indubitável contribuir para a implantação e manutenção da educação integral no Sistema Municipal de Ensino. As estratégias prevêem instituir regimes de colaboração com a União para programas de reestruturação da </w:t>
      </w:r>
      <w:proofErr w:type="spellStart"/>
      <w:r w:rsidRPr="00C00882">
        <w:rPr>
          <w:rFonts w:ascii="Bookman Old Style" w:hAnsi="Bookman Old Style" w:cs="Times New Roman"/>
          <w:color w:val="000000" w:themeColor="text1"/>
          <w:sz w:val="24"/>
          <w:szCs w:val="24"/>
        </w:rPr>
        <w:t>infraestrutura</w:t>
      </w:r>
      <w:proofErr w:type="spellEnd"/>
      <w:r w:rsidRPr="00C00882">
        <w:rPr>
          <w:rFonts w:ascii="Bookman Old Style" w:hAnsi="Bookman Old Style" w:cs="Times New Roman"/>
          <w:color w:val="000000" w:themeColor="text1"/>
          <w:sz w:val="24"/>
          <w:szCs w:val="24"/>
        </w:rPr>
        <w:t xml:space="preserve"> (espaço físico), quadras esportivas, laboratório, biblioteca, bem como na formação dos docentes e atividades de acompanhamento pedagógico, com vistas </w:t>
      </w:r>
      <w:proofErr w:type="gramStart"/>
      <w:r w:rsidRPr="00C00882">
        <w:rPr>
          <w:rFonts w:ascii="Bookman Old Style" w:hAnsi="Bookman Old Style" w:cs="Times New Roman"/>
          <w:color w:val="000000" w:themeColor="text1"/>
          <w:sz w:val="24"/>
          <w:szCs w:val="24"/>
        </w:rPr>
        <w:t>a</w:t>
      </w:r>
      <w:proofErr w:type="gramEnd"/>
      <w:r w:rsidRPr="00C00882">
        <w:rPr>
          <w:rFonts w:ascii="Bookman Old Style" w:hAnsi="Bookman Old Style" w:cs="Times New Roman"/>
          <w:color w:val="000000" w:themeColor="text1"/>
          <w:sz w:val="24"/>
          <w:szCs w:val="24"/>
        </w:rPr>
        <w:t xml:space="preserve"> oferta qualitativa das atividades pedagógico/sócio/cultural. A fiscalização da mantenedora da qualidade pedagógica do tempo integral, adotando medidas que visem </w:t>
      </w:r>
      <w:proofErr w:type="gramStart"/>
      <w:r w:rsidRPr="00C00882">
        <w:rPr>
          <w:rFonts w:ascii="Bookman Old Style" w:hAnsi="Bookman Old Style" w:cs="Times New Roman"/>
          <w:color w:val="000000" w:themeColor="text1"/>
          <w:sz w:val="24"/>
          <w:szCs w:val="24"/>
        </w:rPr>
        <w:t>otimizar</w:t>
      </w:r>
      <w:proofErr w:type="gramEnd"/>
      <w:r w:rsidRPr="00C00882">
        <w:rPr>
          <w:rFonts w:ascii="Bookman Old Style" w:hAnsi="Bookman Old Style" w:cs="Times New Roman"/>
          <w:color w:val="000000" w:themeColor="text1"/>
          <w:sz w:val="24"/>
          <w:szCs w:val="24"/>
        </w:rPr>
        <w:t xml:space="preserve"> o tempo de permanência dos alunos na escola, combinando atividades recreativas, esportivas e culturais. Proporcionar a inclusão de alunos com deficiência e transtornos globais, bem como os que possuem altas habilidades e </w:t>
      </w:r>
      <w:proofErr w:type="spellStart"/>
      <w:r w:rsidRPr="00C00882">
        <w:rPr>
          <w:rFonts w:ascii="Bookman Old Style" w:hAnsi="Bookman Old Style" w:cs="Times New Roman"/>
          <w:color w:val="000000" w:themeColor="text1"/>
          <w:sz w:val="24"/>
          <w:szCs w:val="24"/>
        </w:rPr>
        <w:t>superdotação</w:t>
      </w:r>
      <w:proofErr w:type="spellEnd"/>
      <w:r w:rsidRPr="00C00882">
        <w:rPr>
          <w:rFonts w:ascii="Bookman Old Style" w:hAnsi="Bookman Old Style" w:cs="Times New Roman"/>
          <w:color w:val="000000" w:themeColor="text1"/>
          <w:sz w:val="24"/>
          <w:szCs w:val="24"/>
        </w:rPr>
        <w:t xml:space="preserve">.   </w:t>
      </w:r>
    </w:p>
    <w:p w:rsidR="00C00882" w:rsidRPr="00C00882" w:rsidRDefault="00C00882" w:rsidP="00C00882">
      <w:pPr>
        <w:jc w:val="both"/>
        <w:rPr>
          <w:rFonts w:ascii="Bookman Old Style" w:hAnsi="Bookman Old Style" w:cs="Times New Roman"/>
          <w:color w:val="000000" w:themeColor="text1"/>
          <w:sz w:val="24"/>
          <w:szCs w:val="24"/>
        </w:rPr>
      </w:pPr>
    </w:p>
    <w:p w:rsidR="00C00882" w:rsidRPr="00C00882" w:rsidRDefault="00C00882" w:rsidP="00C00882">
      <w:pPr>
        <w:jc w:val="both"/>
        <w:rPr>
          <w:rFonts w:ascii="Bookman Old Style" w:hAnsi="Bookman Old Style" w:cs="Times New Roman"/>
          <w:b/>
          <w:color w:val="000000" w:themeColor="text1"/>
          <w:sz w:val="24"/>
          <w:szCs w:val="24"/>
        </w:rPr>
      </w:pPr>
      <w:r w:rsidRPr="00C00882">
        <w:rPr>
          <w:rFonts w:ascii="Bookman Old Style" w:hAnsi="Bookman Old Style" w:cs="Times New Roman"/>
          <w:b/>
          <w:color w:val="000000" w:themeColor="text1"/>
          <w:sz w:val="24"/>
          <w:szCs w:val="24"/>
        </w:rPr>
        <w:t>Sistematização e Análise dos Dados:</w:t>
      </w:r>
    </w:p>
    <w:p w:rsidR="00C00882" w:rsidRPr="00C00882" w:rsidRDefault="00C00882" w:rsidP="00C00882">
      <w:pPr>
        <w:jc w:val="both"/>
        <w:rPr>
          <w:rFonts w:ascii="Bookman Old Style" w:hAnsi="Bookman Old Style" w:cs="Times New Roman"/>
          <w:color w:val="000000" w:themeColor="text1"/>
          <w:sz w:val="24"/>
          <w:szCs w:val="24"/>
        </w:rPr>
      </w:pPr>
    </w:p>
    <w:p w:rsidR="00C00882" w:rsidRPr="00C00882" w:rsidRDefault="00C00882" w:rsidP="00C00882">
      <w:pPr>
        <w:jc w:val="both"/>
        <w:rPr>
          <w:rFonts w:ascii="Bookman Old Style" w:hAnsi="Bookman Old Style" w:cs="Times New Roman"/>
          <w:color w:val="000000" w:themeColor="text1"/>
          <w:sz w:val="24"/>
          <w:szCs w:val="24"/>
        </w:rPr>
      </w:pPr>
      <w:r w:rsidRPr="00C00882">
        <w:rPr>
          <w:rFonts w:ascii="Bookman Old Style" w:hAnsi="Bookman Old Style" w:cs="Times New Roman"/>
          <w:color w:val="000000" w:themeColor="text1"/>
          <w:sz w:val="24"/>
          <w:szCs w:val="24"/>
        </w:rPr>
        <w:t xml:space="preserve">Os dados extraídos para o monitoramento desta meta foram advindos da Secretaria da Educação e Censo Escolar do ano de 2016, para o indicador </w:t>
      </w:r>
      <w:proofErr w:type="gramStart"/>
      <w:r w:rsidRPr="00C00882">
        <w:rPr>
          <w:rFonts w:ascii="Bookman Old Style" w:hAnsi="Bookman Old Style" w:cs="Times New Roman"/>
          <w:color w:val="000000" w:themeColor="text1"/>
          <w:sz w:val="24"/>
          <w:szCs w:val="24"/>
        </w:rPr>
        <w:t>6</w:t>
      </w:r>
      <w:proofErr w:type="gramEnd"/>
      <w:r w:rsidRPr="00C00882">
        <w:rPr>
          <w:rFonts w:ascii="Bookman Old Style" w:hAnsi="Bookman Old Style" w:cs="Times New Roman"/>
          <w:color w:val="000000" w:themeColor="text1"/>
          <w:sz w:val="24"/>
          <w:szCs w:val="24"/>
        </w:rPr>
        <w:t xml:space="preserve"> A (percentual de alunos da educação básica pública em tempo integral) e do PNE em Movimento, para o indicador 6 B (percentual de escolas públicas com ao menos um aluno que permanece no mínimo 7 horas diárias em atividades escolares). Os indicadores estão ilustrados graficamente onde temos a meta e o alcançado no período monitorado, conforme os dados levantados.</w:t>
      </w:r>
    </w:p>
    <w:p w:rsidR="00C00882" w:rsidRPr="00C00882" w:rsidRDefault="00C00882" w:rsidP="00C00882">
      <w:pPr>
        <w:jc w:val="both"/>
        <w:rPr>
          <w:rFonts w:ascii="Bookman Old Style" w:hAnsi="Bookman Old Style" w:cs="Times New Roman"/>
          <w:color w:val="000000" w:themeColor="text1"/>
          <w:sz w:val="24"/>
          <w:szCs w:val="24"/>
        </w:rPr>
      </w:pPr>
    </w:p>
    <w:p w:rsidR="00C00882" w:rsidRPr="00C00882" w:rsidRDefault="00C00882" w:rsidP="00C00882">
      <w:pPr>
        <w:jc w:val="center"/>
        <w:rPr>
          <w:rFonts w:ascii="Bookman Old Style" w:hAnsi="Bookman Old Style" w:cs="Times New Roman"/>
          <w:color w:val="000000" w:themeColor="text1"/>
          <w:sz w:val="24"/>
          <w:szCs w:val="24"/>
        </w:rPr>
      </w:pPr>
      <w:r w:rsidRPr="00C00882">
        <w:rPr>
          <w:rFonts w:ascii="Bookman Old Style" w:hAnsi="Bookman Old Style" w:cs="Times New Roman"/>
          <w:noProof/>
          <w:color w:val="000000" w:themeColor="text1"/>
          <w:sz w:val="24"/>
          <w:szCs w:val="24"/>
          <w:lang w:eastAsia="pt-BR"/>
        </w:rPr>
        <w:lastRenderedPageBreak/>
        <w:drawing>
          <wp:inline distT="0" distB="0" distL="0" distR="0">
            <wp:extent cx="3990975" cy="2505075"/>
            <wp:effectExtent l="19050" t="0" r="9525" b="0"/>
            <wp:docPr id="2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0882" w:rsidRPr="00C00882" w:rsidRDefault="00C00882" w:rsidP="00C00882">
      <w:pPr>
        <w:jc w:val="center"/>
        <w:rPr>
          <w:rFonts w:ascii="Bookman Old Style" w:hAnsi="Bookman Old Style" w:cs="Times New Roman"/>
          <w:color w:val="000000" w:themeColor="text1"/>
          <w:sz w:val="24"/>
          <w:szCs w:val="24"/>
        </w:rPr>
      </w:pPr>
      <w:r w:rsidRPr="00C00882">
        <w:rPr>
          <w:rFonts w:ascii="Bookman Old Style" w:hAnsi="Bookman Old Style" w:cs="Times New Roman"/>
          <w:noProof/>
          <w:color w:val="000000" w:themeColor="text1"/>
          <w:sz w:val="24"/>
          <w:szCs w:val="24"/>
          <w:lang w:eastAsia="pt-BR"/>
        </w:rPr>
        <w:drawing>
          <wp:inline distT="0" distB="0" distL="0" distR="0">
            <wp:extent cx="3943350" cy="2533650"/>
            <wp:effectExtent l="19050" t="0" r="19050" b="0"/>
            <wp:docPr id="2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0882" w:rsidRPr="00B3094D" w:rsidRDefault="00C00882" w:rsidP="00C00882">
      <w:pPr>
        <w:jc w:val="both"/>
        <w:rPr>
          <w:rFonts w:ascii="Bookman Old Style" w:hAnsi="Bookman Old Style" w:cs="Times New Roman"/>
          <w:color w:val="000000" w:themeColor="text1"/>
          <w:sz w:val="24"/>
          <w:szCs w:val="24"/>
        </w:rPr>
      </w:pPr>
      <w:r w:rsidRPr="00C00882">
        <w:rPr>
          <w:rFonts w:ascii="Bookman Old Style" w:hAnsi="Bookman Old Style" w:cs="Times New Roman"/>
          <w:color w:val="000000" w:themeColor="text1"/>
          <w:sz w:val="24"/>
          <w:szCs w:val="24"/>
        </w:rPr>
        <w:t xml:space="preserve">Em concordância as sistematizações efetuadas para esta meta, podemos vislumbrar que a educação em tempo integral encontra-se em implantação no Município de Paulo Bento. No exercício de 2016 o indicador </w:t>
      </w:r>
      <w:proofErr w:type="gramStart"/>
      <w:r w:rsidRPr="00C00882">
        <w:rPr>
          <w:rFonts w:ascii="Bookman Old Style" w:hAnsi="Bookman Old Style" w:cs="Times New Roman"/>
          <w:color w:val="000000" w:themeColor="text1"/>
          <w:sz w:val="24"/>
          <w:szCs w:val="24"/>
        </w:rPr>
        <w:t>6</w:t>
      </w:r>
      <w:proofErr w:type="gramEnd"/>
      <w:r w:rsidRPr="00C00882">
        <w:rPr>
          <w:rFonts w:ascii="Bookman Old Style" w:hAnsi="Bookman Old Style" w:cs="Times New Roman"/>
          <w:color w:val="000000" w:themeColor="text1"/>
          <w:sz w:val="24"/>
          <w:szCs w:val="24"/>
        </w:rPr>
        <w:t xml:space="preserve"> A, o alcançado foi de 20%, inferior ao pactuado no Plano que é os 100%, para tanto traçamos no momento do monitoramento metas que caracterizam-se por serem intermediárias, e que para o ano de 2019, atinja-se a meta final. No tangente ao indicador </w:t>
      </w:r>
      <w:proofErr w:type="gramStart"/>
      <w:r w:rsidRPr="00C00882">
        <w:rPr>
          <w:rFonts w:ascii="Bookman Old Style" w:hAnsi="Bookman Old Style" w:cs="Times New Roman"/>
          <w:color w:val="000000" w:themeColor="text1"/>
          <w:sz w:val="24"/>
          <w:szCs w:val="24"/>
        </w:rPr>
        <w:t>6</w:t>
      </w:r>
      <w:proofErr w:type="gramEnd"/>
      <w:r w:rsidRPr="00C00882">
        <w:rPr>
          <w:rFonts w:ascii="Bookman Old Style" w:hAnsi="Bookman Old Style" w:cs="Times New Roman"/>
          <w:color w:val="000000" w:themeColor="text1"/>
          <w:sz w:val="24"/>
          <w:szCs w:val="24"/>
        </w:rPr>
        <w:t xml:space="preserve"> B, o alcançado em 2016 foi de 50%, porcentagem igualitária ao pactuado, entretanto para o exercício de 2017, estimou-se em 100% o alcançado. A educação em tempo integral </w:t>
      </w:r>
      <w:proofErr w:type="spellStart"/>
      <w:r w:rsidRPr="00C00882">
        <w:rPr>
          <w:rFonts w:ascii="Bookman Old Style" w:hAnsi="Bookman Old Style" w:cs="Times New Roman"/>
          <w:color w:val="000000" w:themeColor="text1"/>
          <w:sz w:val="24"/>
          <w:szCs w:val="24"/>
        </w:rPr>
        <w:t>tangenrirá</w:t>
      </w:r>
      <w:proofErr w:type="spellEnd"/>
      <w:r w:rsidRPr="00C00882">
        <w:rPr>
          <w:rFonts w:ascii="Bookman Old Style" w:hAnsi="Bookman Old Style" w:cs="Times New Roman"/>
          <w:color w:val="000000" w:themeColor="text1"/>
          <w:sz w:val="24"/>
          <w:szCs w:val="24"/>
        </w:rPr>
        <w:t xml:space="preserve"> e </w:t>
      </w:r>
      <w:proofErr w:type="spellStart"/>
      <w:r w:rsidRPr="00C00882">
        <w:rPr>
          <w:rFonts w:ascii="Bookman Old Style" w:hAnsi="Bookman Old Style" w:cs="Times New Roman"/>
          <w:color w:val="000000" w:themeColor="text1"/>
          <w:sz w:val="24"/>
          <w:szCs w:val="24"/>
        </w:rPr>
        <w:t>exponenciará</w:t>
      </w:r>
      <w:proofErr w:type="spellEnd"/>
      <w:r w:rsidRPr="00C00882">
        <w:rPr>
          <w:rFonts w:ascii="Bookman Old Style" w:hAnsi="Bookman Old Style" w:cs="Times New Roman"/>
          <w:color w:val="000000" w:themeColor="text1"/>
          <w:sz w:val="24"/>
          <w:szCs w:val="24"/>
        </w:rPr>
        <w:t xml:space="preserve"> o aprendizado dos estudantes, e estes dados levantados irão </w:t>
      </w:r>
      <w:r w:rsidRPr="00C00882">
        <w:rPr>
          <w:rFonts w:ascii="Bookman Old Style" w:hAnsi="Bookman Old Style" w:cs="Times New Roman"/>
          <w:color w:val="000000" w:themeColor="text1"/>
          <w:sz w:val="24"/>
          <w:szCs w:val="24"/>
        </w:rPr>
        <w:lastRenderedPageBreak/>
        <w:t>balizar as políticas públicas municipais que contemplarão esta relevante temática.</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C00882" w:rsidRPr="00540B0B" w:rsidTr="007F3A65">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C00882" w:rsidRPr="00540B0B" w:rsidRDefault="00C00882" w:rsidP="007F3A65">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C00882" w:rsidRPr="00540B0B" w:rsidRDefault="00C00882"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C00882" w:rsidRPr="00540B0B" w:rsidRDefault="00C00882"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C00882" w:rsidRPr="00540B0B" w:rsidRDefault="00C00882"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C00882" w:rsidRDefault="00C00882" w:rsidP="007F3A65">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C00882" w:rsidRPr="00540B0B"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Ofertar gradativamente, em regime de colaboração com a união, educação básica pública em tempo integral, por meio de atividades de acompanhamento pedagógico e multidisciplinares, inclusive culturais e esportivas, de forma que o tempo de permanência de crianças, adolescentes e jovens na escola passe a ser igual ou superior a sete horas diárias durante todo o ano letivo, buscando atender, sempre e garantindo a qualidade do atendimento.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50% até o ano 2017, 70% até 2018 e 100% até 2020</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Institucionalizar e manter, em regime de colaboração com a união, programa nacional de ampliação e reestruturação das escolas públicas por meio da instalação de quadras poliesportivas cobertas, laboratórios, bibliotecas, auditórios, cozinhas, refeitórios, banheiros, espaço profissionalizante e outros equipamentos, bem como de produção de material didático e de formação de recursos humanos para a educação em tempo integral.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C00882">
            <w:pPr>
              <w:spacing w:after="0" w:line="240" w:lineRule="auto"/>
              <w:jc w:val="center"/>
              <w:rPr>
                <w:rFonts w:ascii="Calibri" w:eastAsia="Times New Roman" w:hAnsi="Calibri" w:cs="Calibri"/>
                <w:color w:val="000000"/>
                <w:lang w:eastAsia="pt-BR"/>
              </w:rPr>
            </w:pPr>
            <w:r w:rsidRPr="00C00882">
              <w:rPr>
                <w:rFonts w:ascii="Calibri" w:eastAsia="Times New Roman" w:hAnsi="Calibri" w:cs="Calibri"/>
                <w:color w:val="000000"/>
                <w:lang w:eastAsia="pt-BR"/>
              </w:rPr>
              <w:t>N</w:t>
            </w:r>
            <w:r>
              <w:rPr>
                <w:rFonts w:ascii="Calibri" w:eastAsia="Times New Roman" w:hAnsi="Calibri" w:cs="Calibri"/>
                <w:color w:val="000000"/>
                <w:lang w:eastAsia="pt-BR"/>
              </w:rPr>
              <w:t>ão 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Fomentar e sustentar a articulação da escola com os diferentes espaços educativos e equipamentos públicos, como centros comunitários, bibliotecas, praças, parques e teatros tendo como garantia recursos públicos para o deslocamento dos estudantes para atividades culturais.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lastRenderedPageBreak/>
              <w:t>6.4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Garantir, sob responsabilidade da mantenedora, fiscalização de caráter pedagógico e formativo de qualidade, dos convênios firmados com outras instituições no desenvolvimento das atividades.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Criar estrutura física e quadro de pessoal qualificado com formação pedagógica mínima para atender as escolas do campo na oferta de educação em tempo integral, considerando as peculiaridades locais.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se aplica</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Ofertar e garantir, em regime de colaboração com a união, educação em tempo integral para pessoas com deficiência, transtornos globais do desenvolvimento e altas habilidades ou </w:t>
            </w:r>
            <w:proofErr w:type="spellStart"/>
            <w:r w:rsidRPr="00C00882">
              <w:rPr>
                <w:rFonts w:ascii="Calibri" w:eastAsia="Times New Roman" w:hAnsi="Calibri" w:cs="Calibri"/>
                <w:color w:val="000000"/>
                <w:lang w:eastAsia="pt-BR"/>
              </w:rPr>
              <w:t>superdotação</w:t>
            </w:r>
            <w:proofErr w:type="spellEnd"/>
            <w:r w:rsidRPr="00C00882">
              <w:rPr>
                <w:rFonts w:ascii="Calibri" w:eastAsia="Times New Roman" w:hAnsi="Calibri" w:cs="Calibri"/>
                <w:color w:val="000000"/>
                <w:lang w:eastAsia="pt-BR"/>
              </w:rPr>
              <w:t xml:space="preserve"> na faixa etária de </w:t>
            </w:r>
            <w:proofErr w:type="gramStart"/>
            <w:r w:rsidRPr="00C00882">
              <w:rPr>
                <w:rFonts w:ascii="Calibri" w:eastAsia="Times New Roman" w:hAnsi="Calibri" w:cs="Calibri"/>
                <w:color w:val="000000"/>
                <w:lang w:eastAsia="pt-BR"/>
              </w:rPr>
              <w:t>4</w:t>
            </w:r>
            <w:proofErr w:type="gramEnd"/>
            <w:r w:rsidRPr="00C00882">
              <w:rPr>
                <w:rFonts w:ascii="Calibri" w:eastAsia="Times New Roman" w:hAnsi="Calibri" w:cs="Calibri"/>
                <w:color w:val="000000"/>
                <w:lang w:eastAsia="pt-BR"/>
              </w:rPr>
              <w:t xml:space="preserve"> (quatro) à 17(dezessete) anos, assegurando Atendimento Educacional Especializado, complementar e suplementar ofertado em salas de recursos multifuncionais da própria escola ou de  instituições especializadas.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Plano Plurianual - 2014/2017, Lei Orçamentária Anual - 2017, Lei das </w:t>
            </w:r>
            <w:proofErr w:type="gramStart"/>
            <w:r w:rsidRPr="00C00882">
              <w:rPr>
                <w:rFonts w:ascii="Calibri" w:eastAsia="Times New Roman" w:hAnsi="Calibri" w:cs="Calibri"/>
                <w:color w:val="000000"/>
                <w:lang w:eastAsia="pt-BR"/>
              </w:rPr>
              <w:t>Diretrizes Orçamentárias - 2017 E Plano de Ações</w:t>
            </w:r>
            <w:proofErr w:type="gramEnd"/>
            <w:r w:rsidRPr="00C00882">
              <w:rPr>
                <w:rFonts w:ascii="Calibri" w:eastAsia="Times New Roman" w:hAnsi="Calibri" w:cs="Calibri"/>
                <w:color w:val="000000"/>
                <w:lang w:eastAsia="pt-BR"/>
              </w:rPr>
              <w:t xml:space="preserve"> </w:t>
            </w:r>
            <w:proofErr w:type="spellStart"/>
            <w:r w:rsidRPr="00C00882">
              <w:rPr>
                <w:rFonts w:ascii="Calibri" w:eastAsia="Times New Roman" w:hAnsi="Calibri" w:cs="Calibri"/>
                <w:color w:val="000000"/>
                <w:lang w:eastAsia="pt-BR"/>
              </w:rPr>
              <w:t>Artiiculadas</w:t>
            </w:r>
            <w:proofErr w:type="spellEnd"/>
            <w:r w:rsidRPr="00C00882">
              <w:rPr>
                <w:rFonts w:ascii="Calibri" w:eastAsia="Times New Roman" w:hAnsi="Calibri" w:cs="Calibri"/>
                <w:color w:val="000000"/>
                <w:lang w:eastAsia="pt-BR"/>
              </w:rPr>
              <w:t xml:space="preserve">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C00882" w:rsidRPr="00C00882"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both"/>
              <w:rPr>
                <w:rFonts w:ascii="Calibri" w:eastAsia="Times New Roman" w:hAnsi="Calibri" w:cs="Calibri"/>
                <w:color w:val="000000"/>
                <w:lang w:eastAsia="pt-BR"/>
              </w:rPr>
            </w:pPr>
            <w:r w:rsidRPr="00C00882">
              <w:rPr>
                <w:rFonts w:ascii="Calibri" w:eastAsia="Times New Roman" w:hAnsi="Calibri" w:cs="Calibri"/>
                <w:color w:val="000000"/>
                <w:lang w:eastAsia="pt-BR"/>
              </w:rPr>
              <w:t>6.7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 xml:space="preserve"> Adotar medidas para </w:t>
            </w:r>
            <w:proofErr w:type="gramStart"/>
            <w:r w:rsidRPr="00C00882">
              <w:rPr>
                <w:rFonts w:ascii="Calibri" w:eastAsia="Times New Roman" w:hAnsi="Calibri" w:cs="Calibri"/>
                <w:color w:val="000000"/>
                <w:lang w:eastAsia="pt-BR"/>
              </w:rPr>
              <w:t>otimizar</w:t>
            </w:r>
            <w:proofErr w:type="gramEnd"/>
            <w:r w:rsidRPr="00C00882">
              <w:rPr>
                <w:rFonts w:ascii="Calibri" w:eastAsia="Times New Roman" w:hAnsi="Calibri" w:cs="Calibri"/>
                <w:color w:val="000000"/>
                <w:lang w:eastAsia="pt-BR"/>
              </w:rPr>
              <w:t xml:space="preserve"> o tempo de permanência dos alunos na escola, direcionando a expansão da jornada para o efetivo trabalho escolar, combinado com atividades recreativas, esportivas e culturais.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rPr>
                <w:rFonts w:ascii="Calibri" w:eastAsia="Times New Roman" w:hAnsi="Calibri" w:cs="Calibri"/>
                <w:color w:val="000000"/>
                <w:lang w:eastAsia="pt-BR"/>
              </w:rPr>
            </w:pPr>
            <w:r w:rsidRPr="00C0088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C00882" w:rsidRPr="00C00882" w:rsidRDefault="00C00882"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704102" w:rsidRPr="00B3094D" w:rsidRDefault="00704102" w:rsidP="002E00DD">
      <w:pPr>
        <w:jc w:val="both"/>
        <w:rPr>
          <w:rFonts w:ascii="Bookman Old Style" w:hAnsi="Bookman Old Style" w:cs="Times New Roman"/>
          <w:color w:val="000000" w:themeColor="text1"/>
          <w:sz w:val="24"/>
          <w:szCs w:val="24"/>
        </w:rPr>
      </w:pPr>
    </w:p>
    <w:p w:rsidR="00C00882" w:rsidRPr="00C00882" w:rsidRDefault="00C00882" w:rsidP="00C00882">
      <w:pPr>
        <w:jc w:val="both"/>
        <w:rPr>
          <w:rFonts w:ascii="Bookman Old Style" w:hAnsi="Bookman Old Style" w:cs="Times New Roman"/>
          <w:b/>
          <w:color w:val="000000" w:themeColor="text1"/>
          <w:sz w:val="24"/>
          <w:szCs w:val="24"/>
        </w:rPr>
      </w:pPr>
      <w:r w:rsidRPr="00C00882">
        <w:rPr>
          <w:rFonts w:ascii="Bookman Old Style" w:hAnsi="Bookman Old Style" w:cs="Times New Roman"/>
          <w:b/>
          <w:color w:val="000000" w:themeColor="text1"/>
          <w:sz w:val="24"/>
          <w:szCs w:val="24"/>
        </w:rPr>
        <w:t>Conclusão a respeito da Meta:</w:t>
      </w:r>
    </w:p>
    <w:p w:rsidR="00C00882" w:rsidRPr="00C00882" w:rsidRDefault="00C00882" w:rsidP="00C00882">
      <w:pPr>
        <w:pStyle w:val="PargrafodaLista"/>
        <w:ind w:left="0" w:firstLine="567"/>
        <w:jc w:val="both"/>
        <w:rPr>
          <w:rFonts w:ascii="Bookman Old Style" w:hAnsi="Bookman Old Style" w:cs="Times New Roman"/>
          <w:color w:val="000000" w:themeColor="text1"/>
          <w:sz w:val="24"/>
          <w:szCs w:val="24"/>
        </w:rPr>
      </w:pPr>
    </w:p>
    <w:p w:rsidR="00C00882" w:rsidRPr="00C00882" w:rsidRDefault="00C00882" w:rsidP="00C00882">
      <w:pPr>
        <w:pStyle w:val="PargrafodaLista"/>
        <w:ind w:left="0" w:firstLine="567"/>
        <w:jc w:val="both"/>
        <w:rPr>
          <w:rFonts w:ascii="Bookman Old Style" w:hAnsi="Bookman Old Style" w:cs="Times New Roman"/>
          <w:color w:val="000000" w:themeColor="text1"/>
          <w:sz w:val="24"/>
          <w:szCs w:val="24"/>
        </w:rPr>
      </w:pPr>
      <w:r w:rsidRPr="00C00882">
        <w:rPr>
          <w:rFonts w:ascii="Bookman Old Style" w:hAnsi="Bookman Old Style" w:cs="Times New Roman"/>
          <w:color w:val="000000" w:themeColor="text1"/>
          <w:sz w:val="24"/>
          <w:szCs w:val="24"/>
        </w:rPr>
        <w:t xml:space="preserve">A educação em tempo integral indubitavelmente é importante para elevarmos os patamares tanto qualitativos quanto quantitativos da educação do Município. E de forma indireta terão reflexos na elevação dos números do IDEB nas escolas do Município. As atividades de natureza pedagógica, de convívio, esportivas e culturais são de grande valia para o </w:t>
      </w:r>
      <w:r w:rsidRPr="00C00882">
        <w:rPr>
          <w:rFonts w:ascii="Bookman Old Style" w:hAnsi="Bookman Old Style" w:cs="Times New Roman"/>
          <w:color w:val="000000" w:themeColor="text1"/>
          <w:sz w:val="24"/>
          <w:szCs w:val="24"/>
        </w:rPr>
        <w:lastRenderedPageBreak/>
        <w:t>desenvolvimento do estudante como ser pensante e social, auxiliando-o na integração da sociedade.</w:t>
      </w:r>
    </w:p>
    <w:p w:rsidR="00F01C84" w:rsidRDefault="00C00882" w:rsidP="00C00882">
      <w:pPr>
        <w:pStyle w:val="PargrafodaLista"/>
        <w:ind w:left="0" w:firstLine="567"/>
        <w:jc w:val="both"/>
        <w:rPr>
          <w:rFonts w:ascii="Bookman Old Style" w:hAnsi="Bookman Old Style" w:cs="Times New Roman"/>
          <w:color w:val="000000" w:themeColor="text1"/>
          <w:sz w:val="24"/>
          <w:szCs w:val="24"/>
        </w:rPr>
      </w:pPr>
      <w:r w:rsidRPr="00C00882">
        <w:rPr>
          <w:rFonts w:ascii="Bookman Old Style" w:hAnsi="Bookman Old Style" w:cs="Times New Roman"/>
          <w:color w:val="000000" w:themeColor="text1"/>
          <w:sz w:val="24"/>
          <w:szCs w:val="24"/>
        </w:rPr>
        <w:t>O Município de Paulo Bento atende de forma parcial a temática da educação em tempo integral, necessitando para atendê-la plenamente, além de elevar os valores percentuais dos indicadores propostos (</w:t>
      </w:r>
      <w:proofErr w:type="gramStart"/>
      <w:r w:rsidRPr="00C00882">
        <w:rPr>
          <w:rFonts w:ascii="Bookman Old Style" w:hAnsi="Bookman Old Style" w:cs="Times New Roman"/>
          <w:color w:val="000000" w:themeColor="text1"/>
          <w:sz w:val="24"/>
          <w:szCs w:val="24"/>
        </w:rPr>
        <w:t>6</w:t>
      </w:r>
      <w:proofErr w:type="gramEnd"/>
      <w:r w:rsidRPr="00C00882">
        <w:rPr>
          <w:rFonts w:ascii="Bookman Old Style" w:hAnsi="Bookman Old Style" w:cs="Times New Roman"/>
          <w:color w:val="000000" w:themeColor="text1"/>
          <w:sz w:val="24"/>
          <w:szCs w:val="24"/>
        </w:rPr>
        <w:t xml:space="preserve"> A e 6 B), também ofertar uma pluralidade de atividades como complementação às desenvolvidas em sala de aula. Este aspecto é deveras muito importante, porque visa sanar as possíveis dúvidas que o aluno tiver no desenrolar das atividades passadas pelo docente e previstas nos planos de aula.</w:t>
      </w:r>
    </w:p>
    <w:p w:rsidR="00C00882" w:rsidRDefault="00C00882" w:rsidP="00CB73DC">
      <w:pPr>
        <w:pStyle w:val="PargrafodaLista"/>
        <w:jc w:val="both"/>
        <w:rPr>
          <w:rFonts w:ascii="Bookman Old Style" w:hAnsi="Bookman Old Style" w:cs="Times New Roman"/>
          <w:color w:val="000000" w:themeColor="text1"/>
          <w:sz w:val="24"/>
          <w:szCs w:val="24"/>
        </w:rPr>
      </w:pPr>
    </w:p>
    <w:p w:rsidR="007F3A65" w:rsidRPr="00D81FEF" w:rsidRDefault="007F3A65" w:rsidP="00D81FEF">
      <w:pPr>
        <w:pStyle w:val="Ttulo1"/>
        <w:numPr>
          <w:ilvl w:val="0"/>
          <w:numId w:val="24"/>
        </w:numPr>
        <w:rPr>
          <w:rFonts w:ascii="Bookman Old Style" w:hAnsi="Bookman Old Style"/>
          <w:color w:val="auto"/>
          <w:sz w:val="24"/>
          <w:szCs w:val="24"/>
        </w:rPr>
      </w:pPr>
      <w:bookmarkStart w:id="10" w:name="_Toc497809476"/>
      <w:r w:rsidRPr="00D81FEF">
        <w:rPr>
          <w:rFonts w:ascii="Bookman Old Style" w:hAnsi="Bookman Old Style"/>
          <w:color w:val="auto"/>
        </w:rPr>
        <w:t xml:space="preserve">Meta sobre </w:t>
      </w:r>
      <w:proofErr w:type="gramStart"/>
      <w:r w:rsidRPr="00D81FEF">
        <w:rPr>
          <w:rFonts w:ascii="Bookman Old Style" w:hAnsi="Bookman Old Style"/>
          <w:color w:val="auto"/>
        </w:rPr>
        <w:t>a Aprendizado</w:t>
      </w:r>
      <w:proofErr w:type="gramEnd"/>
      <w:r w:rsidRPr="00D81FEF">
        <w:rPr>
          <w:rFonts w:ascii="Bookman Old Style" w:hAnsi="Bookman Old Style"/>
          <w:color w:val="auto"/>
        </w:rPr>
        <w:t xml:space="preserve"> na Idade Certa</w:t>
      </w:r>
      <w:bookmarkEnd w:id="10"/>
    </w:p>
    <w:p w:rsidR="00D81FEF" w:rsidRDefault="00D81FEF" w:rsidP="007F3A65">
      <w:pPr>
        <w:jc w:val="both"/>
        <w:rPr>
          <w:rFonts w:ascii="Bookman Old Style" w:hAnsi="Bookman Old Style" w:cs="Times New Roman"/>
          <w:b/>
          <w:color w:val="000000" w:themeColor="text1"/>
          <w:sz w:val="24"/>
          <w:szCs w:val="24"/>
        </w:rPr>
      </w:pPr>
    </w:p>
    <w:p w:rsidR="00E87DAB" w:rsidRPr="007F3A65" w:rsidRDefault="00F01C84" w:rsidP="007F3A65">
      <w:pPr>
        <w:jc w:val="both"/>
        <w:rPr>
          <w:rFonts w:ascii="Bookman Old Style" w:hAnsi="Bookman Old Style" w:cs="Times New Roman"/>
          <w:b/>
          <w:color w:val="000000" w:themeColor="text1"/>
          <w:sz w:val="24"/>
          <w:szCs w:val="24"/>
        </w:rPr>
      </w:pPr>
      <w:r w:rsidRPr="007F3A65">
        <w:rPr>
          <w:rFonts w:ascii="Bookman Old Style" w:hAnsi="Bookman Old Style" w:cs="Times New Roman"/>
          <w:b/>
          <w:color w:val="000000" w:themeColor="text1"/>
          <w:sz w:val="24"/>
          <w:szCs w:val="24"/>
        </w:rPr>
        <w:t>Meta</w:t>
      </w:r>
      <w:r w:rsidR="007F3A65">
        <w:rPr>
          <w:rFonts w:ascii="Bookman Old Style" w:hAnsi="Bookman Old Style" w:cs="Times New Roman"/>
          <w:b/>
          <w:color w:val="000000" w:themeColor="text1"/>
          <w:sz w:val="24"/>
          <w:szCs w:val="24"/>
        </w:rPr>
        <w:t xml:space="preserve"> nº. 07:</w:t>
      </w:r>
      <w:r w:rsidRPr="007F3A65">
        <w:rPr>
          <w:rFonts w:ascii="Bookman Old Style" w:hAnsi="Bookman Old Style" w:cs="Times New Roman"/>
          <w:b/>
          <w:color w:val="000000" w:themeColor="text1"/>
          <w:sz w:val="24"/>
          <w:szCs w:val="24"/>
        </w:rPr>
        <w:t xml:space="preserve"> sobre </w:t>
      </w:r>
      <w:r w:rsidR="00216EAD" w:rsidRPr="007F3A65">
        <w:rPr>
          <w:rFonts w:ascii="Bookman Old Style" w:hAnsi="Bookman Old Style" w:cs="Times New Roman"/>
          <w:b/>
          <w:color w:val="000000" w:themeColor="text1"/>
          <w:sz w:val="24"/>
          <w:szCs w:val="24"/>
        </w:rPr>
        <w:t xml:space="preserve">Aprendizado </w:t>
      </w:r>
      <w:proofErr w:type="gramStart"/>
      <w:r w:rsidR="00216EAD" w:rsidRPr="007F3A65">
        <w:rPr>
          <w:rFonts w:ascii="Bookman Old Style" w:hAnsi="Bookman Old Style" w:cs="Times New Roman"/>
          <w:b/>
          <w:color w:val="000000" w:themeColor="text1"/>
          <w:sz w:val="24"/>
          <w:szCs w:val="24"/>
        </w:rPr>
        <w:t>Adequado na Idade Certa</w:t>
      </w:r>
      <w:proofErr w:type="gramEnd"/>
      <w:r w:rsidR="00E87DAB" w:rsidRPr="007F3A65">
        <w:rPr>
          <w:rFonts w:ascii="Bookman Old Style" w:hAnsi="Bookman Old Style" w:cs="Times New Roman"/>
          <w:b/>
          <w:color w:val="000000" w:themeColor="text1"/>
          <w:sz w:val="24"/>
          <w:szCs w:val="24"/>
        </w:rPr>
        <w:t xml:space="preserve"> </w:t>
      </w:r>
      <w:r w:rsidR="00A158C9" w:rsidRPr="007F3A65">
        <w:rPr>
          <w:rFonts w:ascii="Bookman Old Style" w:hAnsi="Bookman Old Style" w:cs="Times New Roman"/>
          <w:b/>
          <w:color w:val="000000" w:themeColor="text1"/>
          <w:sz w:val="24"/>
          <w:szCs w:val="24"/>
        </w:rPr>
        <w:t xml:space="preserve">Meta </w:t>
      </w:r>
      <w:r w:rsidR="00E87DAB" w:rsidRPr="007F3A65">
        <w:rPr>
          <w:rFonts w:ascii="Bookman Old Style" w:hAnsi="Bookman Old Style" w:cs="Times New Roman"/>
          <w:b/>
          <w:color w:val="000000" w:themeColor="text1"/>
          <w:sz w:val="24"/>
          <w:szCs w:val="24"/>
        </w:rPr>
        <w:t>Fomentar a qualidade da educação básica em todas as etapas e modalidades, com melhoria do fluxo escolar e da aprendizagem de modo a atingir as seguintes médias.</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E87DAB" w:rsidRPr="00D049A9" w:rsidTr="007F3A65">
        <w:trPr>
          <w:gridBefore w:val="1"/>
          <w:wBefore w:w="1456" w:type="dxa"/>
          <w:trHeight w:val="948"/>
        </w:trPr>
        <w:tc>
          <w:tcPr>
            <w:tcW w:w="1330" w:type="dxa"/>
            <w:vAlign w:val="center"/>
          </w:tcPr>
          <w:p w:rsidR="00E87DAB" w:rsidRPr="00D049A9" w:rsidRDefault="00E87DAB" w:rsidP="007F3A65">
            <w:pPr>
              <w:rPr>
                <w:rFonts w:ascii="Bookman Old Style" w:hAnsi="Bookman Old Style" w:cs="Times New Roman"/>
                <w:color w:val="000000" w:themeColor="text1"/>
                <w:sz w:val="20"/>
                <w:szCs w:val="20"/>
              </w:rPr>
            </w:pPr>
          </w:p>
          <w:p w:rsidR="00E87DAB"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7</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E87DAB" w:rsidRPr="00D049A9" w:rsidRDefault="00E87DAB" w:rsidP="007F3A65">
            <w:pPr>
              <w:jc w:val="center"/>
              <w:rPr>
                <w:rFonts w:ascii="Bookman Old Style" w:hAnsi="Bookman Old Style" w:cs="Times New Roman"/>
                <w:color w:val="000000" w:themeColor="text1"/>
                <w:sz w:val="20"/>
                <w:szCs w:val="20"/>
              </w:rPr>
            </w:pPr>
          </w:p>
        </w:tc>
        <w:tc>
          <w:tcPr>
            <w:tcW w:w="7640" w:type="dxa"/>
            <w:gridSpan w:val="3"/>
            <w:vAlign w:val="center"/>
          </w:tcPr>
          <w:p w:rsidR="00E87DAB" w:rsidRPr="00D049A9" w:rsidRDefault="00E87DAB" w:rsidP="007F3A65">
            <w:pPr>
              <w:jc w:val="center"/>
              <w:rPr>
                <w:rFonts w:ascii="Bookman Old Style" w:hAnsi="Bookman Old Style" w:cs="Times New Roman"/>
                <w:b/>
                <w:color w:val="000000" w:themeColor="text1"/>
                <w:sz w:val="20"/>
                <w:szCs w:val="20"/>
              </w:rPr>
            </w:pPr>
            <w:r w:rsidRPr="00E87DAB">
              <w:rPr>
                <w:rFonts w:ascii="Bookman Old Style" w:hAnsi="Bookman Old Style" w:cs="Times New Roman"/>
                <w:b/>
                <w:color w:val="000000" w:themeColor="text1"/>
                <w:sz w:val="20"/>
                <w:szCs w:val="20"/>
              </w:rPr>
              <w:t xml:space="preserve">Média do </w:t>
            </w:r>
            <w:proofErr w:type="spellStart"/>
            <w:r w:rsidRPr="00E87DAB">
              <w:rPr>
                <w:rFonts w:ascii="Bookman Old Style" w:hAnsi="Bookman Old Style" w:cs="Times New Roman"/>
                <w:b/>
                <w:color w:val="000000" w:themeColor="text1"/>
                <w:sz w:val="20"/>
                <w:szCs w:val="20"/>
              </w:rPr>
              <w:t>Ideb</w:t>
            </w:r>
            <w:proofErr w:type="spellEnd"/>
            <w:r w:rsidRPr="00E87DAB">
              <w:rPr>
                <w:rFonts w:ascii="Bookman Old Style" w:hAnsi="Bookman Old Style" w:cs="Times New Roman"/>
                <w:b/>
                <w:color w:val="000000" w:themeColor="text1"/>
                <w:sz w:val="20"/>
                <w:szCs w:val="20"/>
              </w:rPr>
              <w:t xml:space="preserve"> nos anos iniciais do ensino fundamental.</w:t>
            </w:r>
          </w:p>
        </w:tc>
      </w:tr>
      <w:tr w:rsidR="00E87DAB" w:rsidRPr="00D049A9" w:rsidTr="007F3A65">
        <w:tblPrEx>
          <w:tblCellMar>
            <w:left w:w="108" w:type="dxa"/>
            <w:right w:w="108" w:type="dxa"/>
          </w:tblCellMar>
          <w:tblLook w:val="04A0"/>
        </w:tblPrEx>
        <w:trPr>
          <w:gridBefore w:val="1"/>
          <w:wBefore w:w="1456" w:type="dxa"/>
          <w:trHeight w:val="325"/>
        </w:trPr>
        <w:tc>
          <w:tcPr>
            <w:tcW w:w="1330" w:type="dxa"/>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87DAB" w:rsidRPr="00D049A9" w:rsidTr="007F3A65">
        <w:trPr>
          <w:trHeight w:val="284"/>
        </w:trPr>
        <w:tc>
          <w:tcPr>
            <w:tcW w:w="1456" w:type="dxa"/>
            <w:vMerge w:val="restart"/>
            <w:tcBorders>
              <w:top w:val="nil"/>
              <w:left w:val="nil"/>
              <w:bottom w:val="nil"/>
            </w:tcBorders>
            <w:shd w:val="clear" w:color="auto" w:fill="auto"/>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87DAB" w:rsidRPr="00D049A9" w:rsidRDefault="00E87DAB"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6,00</w:t>
            </w:r>
          </w:p>
        </w:tc>
        <w:tc>
          <w:tcPr>
            <w:tcW w:w="1292" w:type="dxa"/>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4649" w:type="dxa"/>
            <w:vAlign w:val="center"/>
          </w:tcPr>
          <w:p w:rsidR="00E87DAB" w:rsidRPr="00D049A9" w:rsidRDefault="00F12745" w:rsidP="007F3A65">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Sem informação no período</w:t>
            </w:r>
            <w:r w:rsidR="00E87DAB">
              <w:rPr>
                <w:rFonts w:ascii="Bookman Old Style" w:hAnsi="Bookman Old Style" w:cs="Times New Roman"/>
                <w:color w:val="000000" w:themeColor="text1"/>
                <w:sz w:val="20"/>
                <w:szCs w:val="20"/>
              </w:rPr>
              <w:t>.</w:t>
            </w:r>
            <w:r w:rsidR="00E87DAB" w:rsidRPr="00D049A9">
              <w:rPr>
                <w:rFonts w:ascii="Bookman Old Style" w:hAnsi="Bookman Old Style" w:cs="Times New Roman"/>
                <w:color w:val="000000" w:themeColor="text1"/>
                <w:sz w:val="20"/>
                <w:szCs w:val="20"/>
              </w:rPr>
              <w:t xml:space="preserve"> </w:t>
            </w:r>
          </w:p>
        </w:tc>
      </w:tr>
      <w:tr w:rsidR="00E87DAB" w:rsidRPr="00D049A9" w:rsidTr="007F3A65">
        <w:trPr>
          <w:trHeight w:val="284"/>
        </w:trPr>
        <w:tc>
          <w:tcPr>
            <w:tcW w:w="1456" w:type="dxa"/>
            <w:vMerge/>
            <w:tcBorders>
              <w:left w:val="nil"/>
              <w:bottom w:val="nil"/>
            </w:tcBorders>
            <w:shd w:val="clear" w:color="auto" w:fill="auto"/>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330" w:type="dxa"/>
            <w:vMerge/>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1292" w:type="dxa"/>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69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4649" w:type="dxa"/>
            <w:vAlign w:val="center"/>
          </w:tcPr>
          <w:p w:rsidR="00E87DAB" w:rsidRPr="00D049A9" w:rsidRDefault="00E87DAB" w:rsidP="007F3A65">
            <w:pPr>
              <w:jc w:val="both"/>
              <w:rPr>
                <w:rFonts w:ascii="Bookman Old Style" w:hAnsi="Bookman Old Style" w:cs="Times New Roman"/>
                <w:color w:val="000000" w:themeColor="text1"/>
                <w:sz w:val="20"/>
                <w:szCs w:val="20"/>
              </w:rPr>
            </w:pPr>
          </w:p>
        </w:tc>
      </w:tr>
    </w:tbl>
    <w:p w:rsidR="00704102" w:rsidRPr="00B3094D" w:rsidRDefault="00704102" w:rsidP="002D3310">
      <w:pPr>
        <w:rPr>
          <w:rFonts w:ascii="Bookman Old Style" w:hAnsi="Bookman Old Style" w:cs="Times New Roman"/>
          <w:b/>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E87DAB" w:rsidRPr="00D049A9" w:rsidTr="007F3A65">
        <w:trPr>
          <w:gridBefore w:val="1"/>
          <w:wBefore w:w="1456" w:type="dxa"/>
          <w:trHeight w:val="948"/>
        </w:trPr>
        <w:tc>
          <w:tcPr>
            <w:tcW w:w="1330" w:type="dxa"/>
            <w:vAlign w:val="center"/>
          </w:tcPr>
          <w:p w:rsidR="00E87DAB" w:rsidRPr="00D049A9" w:rsidRDefault="00E87DAB" w:rsidP="007F3A65">
            <w:pPr>
              <w:rPr>
                <w:rFonts w:ascii="Bookman Old Style" w:hAnsi="Bookman Old Style" w:cs="Times New Roman"/>
                <w:color w:val="000000" w:themeColor="text1"/>
                <w:sz w:val="20"/>
                <w:szCs w:val="20"/>
              </w:rPr>
            </w:pPr>
          </w:p>
          <w:p w:rsidR="00E87DAB"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 </w:t>
            </w:r>
            <w:proofErr w:type="gramStart"/>
            <w:r>
              <w:rPr>
                <w:rFonts w:ascii="Bookman Old Style" w:hAnsi="Bookman Old Style" w:cs="Times New Roman"/>
                <w:b/>
                <w:color w:val="000000" w:themeColor="text1"/>
                <w:sz w:val="20"/>
                <w:szCs w:val="20"/>
              </w:rPr>
              <w:t>7</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E87DAB" w:rsidRPr="00D049A9" w:rsidRDefault="00E87DAB" w:rsidP="007F3A65">
            <w:pPr>
              <w:jc w:val="center"/>
              <w:rPr>
                <w:rFonts w:ascii="Bookman Old Style" w:hAnsi="Bookman Old Style" w:cs="Times New Roman"/>
                <w:color w:val="000000" w:themeColor="text1"/>
                <w:sz w:val="20"/>
                <w:szCs w:val="20"/>
              </w:rPr>
            </w:pPr>
          </w:p>
        </w:tc>
        <w:tc>
          <w:tcPr>
            <w:tcW w:w="7640" w:type="dxa"/>
            <w:gridSpan w:val="3"/>
            <w:vAlign w:val="center"/>
          </w:tcPr>
          <w:p w:rsidR="00E87DAB" w:rsidRPr="00D049A9" w:rsidRDefault="00E87DAB" w:rsidP="007F3A65">
            <w:pPr>
              <w:jc w:val="center"/>
              <w:rPr>
                <w:rFonts w:ascii="Bookman Old Style" w:hAnsi="Bookman Old Style" w:cs="Times New Roman"/>
                <w:b/>
                <w:color w:val="000000" w:themeColor="text1"/>
                <w:sz w:val="20"/>
                <w:szCs w:val="20"/>
              </w:rPr>
            </w:pPr>
            <w:r w:rsidRPr="00E87DAB">
              <w:rPr>
                <w:rFonts w:ascii="Bookman Old Style" w:hAnsi="Bookman Old Style" w:cs="Times New Roman"/>
                <w:b/>
                <w:color w:val="000000" w:themeColor="text1"/>
                <w:sz w:val="20"/>
                <w:szCs w:val="20"/>
              </w:rPr>
              <w:t xml:space="preserve">Média do </w:t>
            </w:r>
            <w:proofErr w:type="spellStart"/>
            <w:r w:rsidRPr="00E87DAB">
              <w:rPr>
                <w:rFonts w:ascii="Bookman Old Style" w:hAnsi="Bookman Old Style" w:cs="Times New Roman"/>
                <w:b/>
                <w:color w:val="000000" w:themeColor="text1"/>
                <w:sz w:val="20"/>
                <w:szCs w:val="20"/>
              </w:rPr>
              <w:t>Ideb</w:t>
            </w:r>
            <w:proofErr w:type="spellEnd"/>
            <w:r w:rsidRPr="00E87DAB">
              <w:rPr>
                <w:rFonts w:ascii="Bookman Old Style" w:hAnsi="Bookman Old Style" w:cs="Times New Roman"/>
                <w:b/>
                <w:color w:val="000000" w:themeColor="text1"/>
                <w:sz w:val="20"/>
                <w:szCs w:val="20"/>
              </w:rPr>
              <w:t xml:space="preserve"> nos anos finais do ensino fundamental</w:t>
            </w:r>
            <w:r>
              <w:rPr>
                <w:rFonts w:ascii="Bookman Old Style" w:hAnsi="Bookman Old Style" w:cs="Times New Roman"/>
                <w:b/>
                <w:color w:val="000000" w:themeColor="text1"/>
                <w:sz w:val="20"/>
                <w:szCs w:val="20"/>
              </w:rPr>
              <w:t>.</w:t>
            </w:r>
          </w:p>
        </w:tc>
      </w:tr>
      <w:tr w:rsidR="00E87DAB" w:rsidRPr="00D049A9" w:rsidTr="007F3A65">
        <w:tblPrEx>
          <w:tblCellMar>
            <w:left w:w="108" w:type="dxa"/>
            <w:right w:w="108" w:type="dxa"/>
          </w:tblCellMar>
          <w:tblLook w:val="04A0"/>
        </w:tblPrEx>
        <w:trPr>
          <w:gridBefore w:val="1"/>
          <w:wBefore w:w="1456" w:type="dxa"/>
          <w:trHeight w:val="325"/>
        </w:trPr>
        <w:tc>
          <w:tcPr>
            <w:tcW w:w="1330" w:type="dxa"/>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87DAB" w:rsidRPr="00D049A9" w:rsidTr="007F3A65">
        <w:trPr>
          <w:trHeight w:val="284"/>
        </w:trPr>
        <w:tc>
          <w:tcPr>
            <w:tcW w:w="1456" w:type="dxa"/>
            <w:vMerge w:val="restart"/>
            <w:tcBorders>
              <w:top w:val="nil"/>
              <w:left w:val="nil"/>
              <w:bottom w:val="nil"/>
            </w:tcBorders>
            <w:shd w:val="clear" w:color="auto" w:fill="auto"/>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87DAB" w:rsidRPr="00D049A9" w:rsidRDefault="00F1274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5,5</w:t>
            </w:r>
          </w:p>
        </w:tc>
        <w:tc>
          <w:tcPr>
            <w:tcW w:w="1292" w:type="dxa"/>
            <w:vAlign w:val="center"/>
          </w:tcPr>
          <w:p w:rsidR="00E87DAB" w:rsidRPr="00D049A9" w:rsidRDefault="00E87DAB"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87DAB" w:rsidRPr="00D049A9" w:rsidRDefault="00F1274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4,8</w:t>
            </w:r>
          </w:p>
        </w:tc>
        <w:tc>
          <w:tcPr>
            <w:tcW w:w="4649" w:type="dxa"/>
            <w:vAlign w:val="center"/>
          </w:tcPr>
          <w:p w:rsidR="00E87DAB" w:rsidRPr="00D049A9" w:rsidRDefault="00E87DAB"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r w:rsidRPr="00D049A9">
              <w:rPr>
                <w:rFonts w:ascii="Bookman Old Style" w:hAnsi="Bookman Old Style" w:cs="Times New Roman"/>
                <w:color w:val="000000" w:themeColor="text1"/>
                <w:sz w:val="20"/>
                <w:szCs w:val="20"/>
              </w:rPr>
              <w:t xml:space="preserve"> </w:t>
            </w:r>
          </w:p>
        </w:tc>
      </w:tr>
      <w:tr w:rsidR="00E87DAB" w:rsidRPr="00D049A9" w:rsidTr="007F3A65">
        <w:trPr>
          <w:trHeight w:val="284"/>
        </w:trPr>
        <w:tc>
          <w:tcPr>
            <w:tcW w:w="1456" w:type="dxa"/>
            <w:vMerge/>
            <w:tcBorders>
              <w:left w:val="nil"/>
              <w:bottom w:val="nil"/>
            </w:tcBorders>
            <w:shd w:val="clear" w:color="auto" w:fill="auto"/>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330" w:type="dxa"/>
            <w:vMerge/>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1292" w:type="dxa"/>
            <w:vAlign w:val="center"/>
          </w:tcPr>
          <w:p w:rsidR="00E87DAB" w:rsidRPr="00D049A9" w:rsidRDefault="00E87DAB" w:rsidP="007F3A65">
            <w:pPr>
              <w:jc w:val="center"/>
              <w:rPr>
                <w:rFonts w:ascii="Bookman Old Style" w:hAnsi="Bookman Old Style" w:cs="Times New Roman"/>
                <w:color w:val="000000" w:themeColor="text1"/>
                <w:sz w:val="20"/>
                <w:szCs w:val="20"/>
              </w:rPr>
            </w:pPr>
          </w:p>
        </w:tc>
        <w:tc>
          <w:tcPr>
            <w:tcW w:w="1699" w:type="dxa"/>
            <w:vAlign w:val="center"/>
          </w:tcPr>
          <w:p w:rsidR="00E87DAB" w:rsidRPr="00D049A9" w:rsidRDefault="00E87DAB" w:rsidP="007F3A65">
            <w:pPr>
              <w:jc w:val="center"/>
              <w:rPr>
                <w:rFonts w:ascii="Bookman Old Style" w:hAnsi="Bookman Old Style" w:cs="Times New Roman"/>
                <w:b/>
                <w:color w:val="000000" w:themeColor="text1"/>
                <w:sz w:val="20"/>
                <w:szCs w:val="20"/>
              </w:rPr>
            </w:pPr>
          </w:p>
        </w:tc>
        <w:tc>
          <w:tcPr>
            <w:tcW w:w="4649" w:type="dxa"/>
            <w:vAlign w:val="center"/>
          </w:tcPr>
          <w:p w:rsidR="00E87DAB" w:rsidRPr="00D049A9" w:rsidRDefault="00E87DAB" w:rsidP="007F3A65">
            <w:pPr>
              <w:jc w:val="both"/>
              <w:rPr>
                <w:rFonts w:ascii="Bookman Old Style" w:hAnsi="Bookman Old Style" w:cs="Times New Roman"/>
                <w:color w:val="000000" w:themeColor="text1"/>
                <w:sz w:val="20"/>
                <w:szCs w:val="20"/>
              </w:rPr>
            </w:pPr>
          </w:p>
        </w:tc>
      </w:tr>
    </w:tbl>
    <w:p w:rsidR="00704102" w:rsidRDefault="00704102" w:rsidP="002D3310">
      <w:pPr>
        <w:rPr>
          <w:rFonts w:ascii="Bookman Old Style" w:hAnsi="Bookman Old Style" w:cs="Times New Roman"/>
          <w:b/>
          <w:color w:val="000000" w:themeColor="text1"/>
          <w:sz w:val="24"/>
          <w:szCs w:val="24"/>
        </w:rPr>
      </w:pPr>
    </w:p>
    <w:p w:rsidR="00F12745" w:rsidRPr="00F12745" w:rsidRDefault="00F12745" w:rsidP="00F12745">
      <w:pPr>
        <w:rPr>
          <w:rFonts w:ascii="Bookman Old Style" w:hAnsi="Bookman Old Style" w:cs="Times New Roman"/>
          <w:b/>
          <w:color w:val="000000" w:themeColor="text1"/>
          <w:sz w:val="24"/>
          <w:szCs w:val="24"/>
        </w:rPr>
      </w:pPr>
      <w:r w:rsidRPr="00F12745">
        <w:rPr>
          <w:rFonts w:ascii="Bookman Old Style" w:hAnsi="Bookman Old Style" w:cs="Times New Roman"/>
          <w:b/>
          <w:color w:val="000000" w:themeColor="text1"/>
          <w:sz w:val="24"/>
          <w:szCs w:val="24"/>
        </w:rPr>
        <w:t>Contextualização da Meta:</w:t>
      </w:r>
    </w:p>
    <w:p w:rsidR="00F12745" w:rsidRPr="00F12745" w:rsidRDefault="00F12745" w:rsidP="00485849">
      <w:pPr>
        <w:ind w:firstLine="567"/>
        <w:jc w:val="both"/>
        <w:rPr>
          <w:rFonts w:ascii="Bookman Old Style" w:hAnsi="Bookman Old Style" w:cs="Times New Roman"/>
          <w:color w:val="000000" w:themeColor="text1"/>
          <w:sz w:val="24"/>
          <w:szCs w:val="24"/>
        </w:rPr>
      </w:pPr>
      <w:r w:rsidRPr="00F12745">
        <w:rPr>
          <w:rFonts w:ascii="Bookman Old Style" w:hAnsi="Bookman Old Style" w:cs="Times New Roman"/>
          <w:color w:val="000000" w:themeColor="text1"/>
          <w:sz w:val="24"/>
          <w:szCs w:val="24"/>
        </w:rPr>
        <w:t xml:space="preserve">A meta de número 07 do Plano Municipal de Educação enseja fomentar a qualidade da educação básica em todas as etapas e modalidades, com vistas a atingir as seguintes médias do IDEB; 6,0 no ensino fundamental anos iniciais e 5,5 no ensino fundamental anos finais. A elevação da média do IDEB no ensino fundamental diz respeito ao aumento do nível de aprendizado e de conhecimento dos alunos, traduzido em qualidade contínua da educação no âmbito do Município. </w:t>
      </w:r>
    </w:p>
    <w:p w:rsidR="00F12745" w:rsidRPr="00F12745" w:rsidRDefault="00F12745" w:rsidP="00485849">
      <w:pPr>
        <w:ind w:firstLine="567"/>
        <w:jc w:val="both"/>
        <w:rPr>
          <w:rFonts w:ascii="Bookman Old Style" w:hAnsi="Bookman Old Style" w:cs="Times New Roman"/>
          <w:color w:val="000000" w:themeColor="text1"/>
          <w:sz w:val="24"/>
          <w:szCs w:val="24"/>
        </w:rPr>
      </w:pPr>
      <w:r w:rsidRPr="00F12745">
        <w:rPr>
          <w:rFonts w:ascii="Bookman Old Style" w:hAnsi="Bookman Old Style" w:cs="Times New Roman"/>
          <w:color w:val="000000" w:themeColor="text1"/>
          <w:sz w:val="24"/>
          <w:szCs w:val="24"/>
        </w:rPr>
        <w:t xml:space="preserve">As estratégias delineadas para esta meta visam objetivamente convergirem para a elevação da média do IDEB no ensino fundamental, seja ele em séries iniciais ou nas finais. As estratégias visam firmar parceria com a União para o apoio à gestão educacional e a formação continuada dos professores. </w:t>
      </w:r>
      <w:proofErr w:type="gramStart"/>
      <w:r w:rsidRPr="00F12745">
        <w:rPr>
          <w:rFonts w:ascii="Bookman Old Style" w:hAnsi="Bookman Old Style" w:cs="Times New Roman"/>
          <w:color w:val="000000" w:themeColor="text1"/>
          <w:sz w:val="24"/>
          <w:szCs w:val="24"/>
        </w:rPr>
        <w:t>Implementar</w:t>
      </w:r>
      <w:proofErr w:type="gramEnd"/>
      <w:r w:rsidRPr="00F12745">
        <w:rPr>
          <w:rFonts w:ascii="Bookman Old Style" w:hAnsi="Bookman Old Style" w:cs="Times New Roman"/>
          <w:color w:val="000000" w:themeColor="text1"/>
          <w:sz w:val="24"/>
          <w:szCs w:val="24"/>
        </w:rPr>
        <w:t xml:space="preserve"> o atendimento de caráter multidisciplinar nas escolas, garantindo também o quadro profissional completo em cada início de ano letivo. Proceder com o acompanhamento do resultado do IDEB, para fins de monitoramento. Criar condições para a implementação das tecnologias educacionais e qualificação de professores, </w:t>
      </w:r>
      <w:proofErr w:type="gramStart"/>
      <w:r w:rsidRPr="00F12745">
        <w:rPr>
          <w:rFonts w:ascii="Bookman Old Style" w:hAnsi="Bookman Old Style" w:cs="Times New Roman"/>
          <w:color w:val="000000" w:themeColor="text1"/>
          <w:sz w:val="24"/>
          <w:szCs w:val="24"/>
        </w:rPr>
        <w:t>promover</w:t>
      </w:r>
      <w:proofErr w:type="gramEnd"/>
      <w:r w:rsidRPr="00F12745">
        <w:rPr>
          <w:rFonts w:ascii="Bookman Old Style" w:hAnsi="Bookman Old Style" w:cs="Times New Roman"/>
          <w:color w:val="000000" w:themeColor="text1"/>
          <w:sz w:val="24"/>
          <w:szCs w:val="24"/>
        </w:rPr>
        <w:t xml:space="preserve"> a gestão democrática nas escolas, firmar em regime de colaboração com a União programas de atendimento ao estudante em todas as etapas da educação básica, por meio do fornecimento de material didático, transporte e assistência à saúde. A criação de mecanismos para a garantia da permanência dos alunos em sala de aula, constituindo a Rede de Apoio à Escola. Fomentar a participação dos pais e/ou responsáveis dos alunos nas decisões da escola e no acompanhamento ao estudante. Garantir aos estudantes, atendimento de saúde, seja ele mental ou psicológico, objetivando não prejudicar o seu processo de aprendizagem, criando também programas de preventivos. Efetuar o levantamento da demanda da Educação de Jovens e Adultos (EJA) no Município, a fim de atender qualitativamente esta parcela da população. </w:t>
      </w:r>
    </w:p>
    <w:p w:rsidR="00F12745" w:rsidRDefault="00F12745" w:rsidP="00F12745">
      <w:pPr>
        <w:rPr>
          <w:rFonts w:ascii="Bookman Old Style" w:hAnsi="Bookman Old Style" w:cs="Times New Roman"/>
          <w:b/>
          <w:color w:val="000000" w:themeColor="text1"/>
          <w:sz w:val="24"/>
          <w:szCs w:val="24"/>
        </w:rPr>
      </w:pPr>
    </w:p>
    <w:p w:rsidR="007F3A65" w:rsidRDefault="007F3A65" w:rsidP="00F12745">
      <w:pPr>
        <w:rPr>
          <w:rFonts w:ascii="Bookman Old Style" w:hAnsi="Bookman Old Style" w:cs="Times New Roman"/>
          <w:b/>
          <w:color w:val="000000" w:themeColor="text1"/>
          <w:sz w:val="24"/>
          <w:szCs w:val="24"/>
        </w:rPr>
      </w:pPr>
    </w:p>
    <w:p w:rsidR="007F3A65" w:rsidRPr="00F12745" w:rsidRDefault="007F3A65" w:rsidP="00F12745">
      <w:pPr>
        <w:rPr>
          <w:rFonts w:ascii="Bookman Old Style" w:hAnsi="Bookman Old Style" w:cs="Times New Roman"/>
          <w:b/>
          <w:color w:val="000000" w:themeColor="text1"/>
          <w:sz w:val="24"/>
          <w:szCs w:val="24"/>
        </w:rPr>
      </w:pPr>
    </w:p>
    <w:p w:rsidR="007F3A65" w:rsidRDefault="00F12745" w:rsidP="007F3A65">
      <w:pPr>
        <w:rPr>
          <w:rFonts w:ascii="Bookman Old Style" w:hAnsi="Bookman Old Style" w:cs="Times New Roman"/>
          <w:b/>
          <w:color w:val="000000" w:themeColor="text1"/>
          <w:sz w:val="24"/>
          <w:szCs w:val="24"/>
        </w:rPr>
      </w:pPr>
      <w:r w:rsidRPr="00F12745">
        <w:rPr>
          <w:rFonts w:ascii="Bookman Old Style" w:hAnsi="Bookman Old Style" w:cs="Times New Roman"/>
          <w:b/>
          <w:color w:val="000000" w:themeColor="text1"/>
          <w:sz w:val="24"/>
          <w:szCs w:val="24"/>
        </w:rPr>
        <w:lastRenderedPageBreak/>
        <w:t>Sistematização e Análise dos Dados:</w:t>
      </w:r>
    </w:p>
    <w:p w:rsidR="00F12745" w:rsidRPr="00F12745" w:rsidRDefault="00F12745" w:rsidP="007F3A65">
      <w:pPr>
        <w:rPr>
          <w:rFonts w:ascii="Bookman Old Style" w:hAnsi="Bookman Old Style" w:cs="Times New Roman"/>
          <w:color w:val="000000" w:themeColor="text1"/>
          <w:sz w:val="24"/>
          <w:szCs w:val="24"/>
        </w:rPr>
      </w:pPr>
      <w:r w:rsidRPr="00F12745">
        <w:rPr>
          <w:rFonts w:ascii="Bookman Old Style" w:hAnsi="Bookman Old Style" w:cs="Times New Roman"/>
          <w:color w:val="000000" w:themeColor="text1"/>
          <w:sz w:val="24"/>
          <w:szCs w:val="24"/>
        </w:rPr>
        <w:t xml:space="preserve">Os dados levantados junto á esta meta que foram instrumentais para realizarmos o monitoramento, advêm do PNE em Movimento, (Censo da Educação Básica e Prova Brasil - 2005-2013), sendo </w:t>
      </w:r>
      <w:proofErr w:type="gramStart"/>
      <w:r w:rsidRPr="00F12745">
        <w:rPr>
          <w:rFonts w:ascii="Bookman Old Style" w:hAnsi="Bookman Old Style" w:cs="Times New Roman"/>
          <w:color w:val="000000" w:themeColor="text1"/>
          <w:sz w:val="24"/>
          <w:szCs w:val="24"/>
        </w:rPr>
        <w:t>subdividido em dois indicadores distintos</w:t>
      </w:r>
      <w:proofErr w:type="gramEnd"/>
      <w:r w:rsidRPr="00F12745">
        <w:rPr>
          <w:rFonts w:ascii="Bookman Old Style" w:hAnsi="Bookman Old Style" w:cs="Times New Roman"/>
          <w:color w:val="000000" w:themeColor="text1"/>
          <w:sz w:val="24"/>
          <w:szCs w:val="24"/>
        </w:rPr>
        <w:t>, o 7 A e o 7 B, na qual asseveram a respeito da média do IDEB para os anos iniciais do ensino fundamental e para os anos finais da modalidade. Procedemos com a sistematização deste resultado por meio de gráficos ilustrativos, que visam demonstrar o monitorado.</w:t>
      </w:r>
    </w:p>
    <w:p w:rsidR="00F12745" w:rsidRDefault="00F12745" w:rsidP="00F12745">
      <w:pPr>
        <w:jc w:val="center"/>
        <w:rPr>
          <w:rFonts w:ascii="Bookman Old Style" w:hAnsi="Bookman Old Style" w:cs="Times New Roman"/>
          <w:color w:val="000000" w:themeColor="text1"/>
          <w:sz w:val="24"/>
          <w:szCs w:val="24"/>
        </w:rPr>
      </w:pPr>
      <w:r w:rsidRPr="00F12745">
        <w:rPr>
          <w:rFonts w:ascii="Bookman Old Style" w:hAnsi="Bookman Old Style" w:cs="Times New Roman"/>
          <w:noProof/>
          <w:color w:val="000000" w:themeColor="text1"/>
          <w:sz w:val="24"/>
          <w:szCs w:val="24"/>
          <w:lang w:eastAsia="pt-BR"/>
        </w:rPr>
        <w:drawing>
          <wp:inline distT="0" distB="0" distL="0" distR="0">
            <wp:extent cx="4181475" cy="2686050"/>
            <wp:effectExtent l="19050" t="0" r="9525" b="0"/>
            <wp:docPr id="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2745" w:rsidRPr="00F12745" w:rsidRDefault="00F12745" w:rsidP="00F12745">
      <w:pPr>
        <w:jc w:val="center"/>
        <w:rPr>
          <w:rFonts w:ascii="Bookman Old Style" w:hAnsi="Bookman Old Style" w:cs="Times New Roman"/>
          <w:color w:val="000000" w:themeColor="text1"/>
          <w:sz w:val="24"/>
          <w:szCs w:val="24"/>
        </w:rPr>
      </w:pPr>
      <w:r w:rsidRPr="00F12745">
        <w:rPr>
          <w:rFonts w:ascii="Bookman Old Style" w:hAnsi="Bookman Old Style" w:cs="Times New Roman"/>
          <w:noProof/>
          <w:color w:val="000000" w:themeColor="text1"/>
          <w:sz w:val="24"/>
          <w:szCs w:val="24"/>
          <w:lang w:eastAsia="pt-BR"/>
        </w:rPr>
        <w:drawing>
          <wp:inline distT="0" distB="0" distL="0" distR="0">
            <wp:extent cx="4162425" cy="2638425"/>
            <wp:effectExtent l="19050" t="0" r="9525" b="0"/>
            <wp:docPr id="3"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2745" w:rsidRPr="00F12745" w:rsidRDefault="00F12745" w:rsidP="00485849">
      <w:pPr>
        <w:ind w:firstLine="567"/>
        <w:jc w:val="both"/>
        <w:rPr>
          <w:rFonts w:ascii="Bookman Old Style" w:hAnsi="Bookman Old Style" w:cs="Times New Roman"/>
          <w:color w:val="000000" w:themeColor="text1"/>
          <w:sz w:val="24"/>
          <w:szCs w:val="24"/>
        </w:rPr>
      </w:pPr>
      <w:r w:rsidRPr="00F12745">
        <w:rPr>
          <w:rFonts w:ascii="Bookman Old Style" w:hAnsi="Bookman Old Style" w:cs="Times New Roman"/>
          <w:color w:val="000000" w:themeColor="text1"/>
          <w:sz w:val="24"/>
          <w:szCs w:val="24"/>
        </w:rPr>
        <w:lastRenderedPageBreak/>
        <w:t xml:space="preserve">Os indicadores detalhados nos gráficos acima trazem os resultados da média do IDEB nos anos iniciais do ensino fundamental (indicador </w:t>
      </w:r>
      <w:proofErr w:type="gramStart"/>
      <w:r w:rsidRPr="00F12745">
        <w:rPr>
          <w:rFonts w:ascii="Bookman Old Style" w:hAnsi="Bookman Old Style" w:cs="Times New Roman"/>
          <w:color w:val="000000" w:themeColor="text1"/>
          <w:sz w:val="24"/>
          <w:szCs w:val="24"/>
        </w:rPr>
        <w:t>7</w:t>
      </w:r>
      <w:proofErr w:type="gramEnd"/>
      <w:r w:rsidRPr="00F12745">
        <w:rPr>
          <w:rFonts w:ascii="Bookman Old Style" w:hAnsi="Bookman Old Style" w:cs="Times New Roman"/>
          <w:color w:val="000000" w:themeColor="text1"/>
          <w:sz w:val="24"/>
          <w:szCs w:val="24"/>
        </w:rPr>
        <w:t xml:space="preserve"> A), e média do IDEB nos anos finais do ensino fundamental (indicador 7 B). Com relação ao indicador </w:t>
      </w:r>
      <w:proofErr w:type="gramStart"/>
      <w:r w:rsidRPr="00F12745">
        <w:rPr>
          <w:rFonts w:ascii="Bookman Old Style" w:hAnsi="Bookman Old Style" w:cs="Times New Roman"/>
          <w:color w:val="000000" w:themeColor="text1"/>
          <w:sz w:val="24"/>
          <w:szCs w:val="24"/>
        </w:rPr>
        <w:t>7</w:t>
      </w:r>
      <w:proofErr w:type="gramEnd"/>
      <w:r w:rsidRPr="00F12745">
        <w:rPr>
          <w:rFonts w:ascii="Bookman Old Style" w:hAnsi="Bookman Old Style" w:cs="Times New Roman"/>
          <w:color w:val="000000" w:themeColor="text1"/>
          <w:sz w:val="24"/>
          <w:szCs w:val="24"/>
        </w:rPr>
        <w:t xml:space="preserve"> A, não temos resultados para o ano de 2016, o que impossibilita traçarmos um parâmetro concreto, para tanto aconselha-se que o Município adira à Prova Brasil, para ter dados balizadores do monitoramento. Possibilitando </w:t>
      </w:r>
      <w:proofErr w:type="gramStart"/>
      <w:r w:rsidRPr="00F12745">
        <w:rPr>
          <w:rFonts w:ascii="Bookman Old Style" w:hAnsi="Bookman Old Style" w:cs="Times New Roman"/>
          <w:color w:val="000000" w:themeColor="text1"/>
          <w:sz w:val="24"/>
          <w:szCs w:val="24"/>
        </w:rPr>
        <w:t>desta forma termos</w:t>
      </w:r>
      <w:proofErr w:type="gramEnd"/>
      <w:r w:rsidRPr="00F12745">
        <w:rPr>
          <w:rFonts w:ascii="Bookman Old Style" w:hAnsi="Bookman Old Style" w:cs="Times New Roman"/>
          <w:color w:val="000000" w:themeColor="text1"/>
          <w:sz w:val="24"/>
          <w:szCs w:val="24"/>
        </w:rPr>
        <w:t xml:space="preserve"> um monitoramento qualificado.. Entretanto traçamos metas intermediárias do monitoramento, estabelecendo resultados a serem alcançados de forma gradativa até o ano de 2021 para o indicador </w:t>
      </w:r>
      <w:proofErr w:type="gramStart"/>
      <w:r w:rsidRPr="00F12745">
        <w:rPr>
          <w:rFonts w:ascii="Bookman Old Style" w:hAnsi="Bookman Old Style" w:cs="Times New Roman"/>
          <w:color w:val="000000" w:themeColor="text1"/>
          <w:sz w:val="24"/>
          <w:szCs w:val="24"/>
        </w:rPr>
        <w:t>7</w:t>
      </w:r>
      <w:proofErr w:type="gramEnd"/>
      <w:r w:rsidRPr="00F12745">
        <w:rPr>
          <w:rFonts w:ascii="Bookman Old Style" w:hAnsi="Bookman Old Style" w:cs="Times New Roman"/>
          <w:color w:val="000000" w:themeColor="text1"/>
          <w:sz w:val="24"/>
          <w:szCs w:val="24"/>
        </w:rPr>
        <w:t xml:space="preserve"> A. No concernente ao indicador 7 B, o alcançado foi de 4,8 no índice do IDEB, ficando abaixo do pactuado para a meta de 5,5. Com relação a este indicador tivemos também o estabelecimento de metas intermediárias para conseguir alcançar a meta de 5,5, para tanto se pretende alcançar de forma gradativa até o ano de 2019 o proposto como meta no Plano Municipal de Educação. Os indicadores desta meta terão estratégias pré-definidas de aumento de índices de IDEB ano a ano.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F12745" w:rsidRPr="00540B0B" w:rsidTr="007F3A65">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F12745" w:rsidRPr="00540B0B" w:rsidRDefault="00F12745" w:rsidP="007F3A65">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F12745" w:rsidRPr="00540B0B" w:rsidRDefault="00F1274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F12745" w:rsidRPr="00540B0B" w:rsidRDefault="00F1274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F12745" w:rsidRPr="00540B0B" w:rsidRDefault="00F1274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F12745" w:rsidRDefault="00F12745" w:rsidP="007F3A65">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F12745" w:rsidRPr="00540B0B" w:rsidRDefault="00F12745"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Formalizar e executar os planos de ações articuladas dando cumprimento às metas de qualidade estabelecidas para a educação básica pública e às estratégias de apoio técnico e financeiro voltadas à melhoria da gestão educacional, bem como na formação continuada dos profissionais d educação.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 gradativamente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de Ações Articuladas - PAR</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Atualizar e monitorar o Plano de Ações Articuladas (PAR) garantindo recursos orçamentários, a fim de dar conta das ações propostas para a educação do município de Paulo Bento/RS.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Garantir quadro de pessoal completo, de preferência efetivos, nas escolas, em cada início do ano letivo.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lastRenderedPageBreak/>
              <w:t>7.4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proofErr w:type="gramStart"/>
            <w:r w:rsidRPr="00F12745">
              <w:rPr>
                <w:rFonts w:ascii="Calibri" w:eastAsia="Times New Roman" w:hAnsi="Calibri" w:cs="Calibri"/>
                <w:color w:val="000000"/>
                <w:lang w:eastAsia="pt-BR"/>
              </w:rPr>
              <w:t>Implementar</w:t>
            </w:r>
            <w:proofErr w:type="gramEnd"/>
            <w:r w:rsidRPr="00F12745">
              <w:rPr>
                <w:rFonts w:ascii="Calibri" w:eastAsia="Times New Roman" w:hAnsi="Calibri" w:cs="Calibri"/>
                <w:color w:val="000000"/>
                <w:lang w:eastAsia="pt-BR"/>
              </w:rPr>
              <w:t xml:space="preserve"> rede de atendimento multidisciplinar nas escolas.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Acompanhar e divulgar bienalmente, afixando também no interior de cada escola, os resultados do IDEB das escolas das redes públicas de educação básica e dos sistemas de ensino, bem como assegurar políticas públicas que </w:t>
            </w:r>
            <w:proofErr w:type="spellStart"/>
            <w:r w:rsidRPr="00F12745">
              <w:rPr>
                <w:rFonts w:ascii="Calibri" w:eastAsia="Times New Roman" w:hAnsi="Calibri" w:cs="Calibri"/>
                <w:color w:val="000000"/>
                <w:lang w:eastAsia="pt-BR"/>
              </w:rPr>
              <w:t>deem</w:t>
            </w:r>
            <w:proofErr w:type="spellEnd"/>
            <w:r w:rsidRPr="00F12745">
              <w:rPr>
                <w:rFonts w:ascii="Calibri" w:eastAsia="Times New Roman" w:hAnsi="Calibri" w:cs="Calibri"/>
                <w:color w:val="000000"/>
                <w:lang w:eastAsia="pt-BR"/>
              </w:rPr>
              <w:t xml:space="preserve"> conta das defasagens de aprendizagem nas escolas que não atingirem a meta.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Garantir transporte para os estudantes da educação do campo, na faixa etária da educação escolar obrigatória, considerando a acessibilidade, distância e cumprimento das especificações do Instituto Nacional de Metrologia, Normalização e Qualidade Industrial – INMETRO.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Realizado </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Informatizar a gestão das escolas e das secretarias de educação e </w:t>
            </w:r>
            <w:proofErr w:type="gramStart"/>
            <w:r w:rsidRPr="00F12745">
              <w:rPr>
                <w:rFonts w:ascii="Calibri" w:eastAsia="Times New Roman" w:hAnsi="Calibri" w:cs="Calibri"/>
                <w:color w:val="000000"/>
                <w:lang w:eastAsia="pt-BR"/>
              </w:rPr>
              <w:t>implementar</w:t>
            </w:r>
            <w:proofErr w:type="gramEnd"/>
            <w:r w:rsidRPr="00F12745">
              <w:rPr>
                <w:rFonts w:ascii="Calibri" w:eastAsia="Times New Roman" w:hAnsi="Calibri" w:cs="Calibri"/>
                <w:color w:val="000000"/>
                <w:lang w:eastAsia="pt-BR"/>
              </w:rPr>
              <w:t xml:space="preserve"> Laboratórios de Informática em todas as escolas, num período de três anos, após a aprovação deste plano, criando um sistema de gerenciamento de dados e informações da situação educacional dos estudantes, interligados entre as escolas,  bem como manter programa nacional de formação inicial e continuada para o pessoal técnico das secretarias de educação.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50% em 2017 e 50% em 2019</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Proporcionar, além da </w:t>
            </w:r>
            <w:proofErr w:type="gramStart"/>
            <w:r w:rsidRPr="00F12745">
              <w:rPr>
                <w:rFonts w:ascii="Calibri" w:eastAsia="Times New Roman" w:hAnsi="Calibri" w:cs="Calibri"/>
                <w:color w:val="000000"/>
                <w:lang w:eastAsia="pt-BR"/>
              </w:rPr>
              <w:t>implementação</w:t>
            </w:r>
            <w:proofErr w:type="gramEnd"/>
            <w:r w:rsidRPr="00F12745">
              <w:rPr>
                <w:rFonts w:ascii="Calibri" w:eastAsia="Times New Roman" w:hAnsi="Calibri" w:cs="Calibri"/>
                <w:color w:val="000000"/>
                <w:lang w:eastAsia="pt-BR"/>
              </w:rPr>
              <w:t xml:space="preserve"> das tecnologias educacionais, qualificação aos professores para a utilização dos recursos disponíveis.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Apoiar técnica e financeiramente a gestão escolar, com vistas à ampliação da participação da </w:t>
            </w:r>
            <w:r w:rsidRPr="00F12745">
              <w:rPr>
                <w:rFonts w:ascii="Calibri" w:eastAsia="Times New Roman" w:hAnsi="Calibri" w:cs="Calibri"/>
                <w:color w:val="000000"/>
                <w:lang w:eastAsia="pt-BR"/>
              </w:rPr>
              <w:lastRenderedPageBreak/>
              <w:t>comunidade escolar no planejamento e na aplicação dos recursos e no desenvolvimento da gestão democrática efetiva.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lastRenderedPageBreak/>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Realizado </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lastRenderedPageBreak/>
              <w:t>7.10</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Ampliar programas em regime de colaboração da união e aprofundar ações de atendimento ao estudante, em todas as etapas da educação básica, por meio de programas suplementares de material didático-escolar, transporte, alimentação e assistência à saúde.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Prover, implantar e garantir a manutenção de equipamentos e recursos digitais para a utilização pedagógica no ambiente escolar a todas as escolas de ensino fundamental e médio.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Plano Plurianual - 2014/2017,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Realizado </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Capacitar professores e técnicos para o planejamento, implantação e operacionalização de programas de educação ambiental, no sentido de atender as especificidades de cada segmento da sociedade.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Garantir políticas de combate à violência na escola, por meio de projetos centrados na vida, na solidariedade em uma cultura de paz, a fim de buscar um ambiente escolar dotado de segurança e, assegurar às escolas, com um número significativo de estudantes, auxiliares de disciplina.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Criar Comissões multidisciplinares, contendo membros dos diversos órgãos e secretarias, para garantir a qualidade do atendimento e de permanência do jovem na escola (RAE).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Buscar alternativas que comprometam os pais a levarem seus filhos aos atendimentos encaminhados.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lastRenderedPageBreak/>
              <w:t>7.16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Criar novas estratégias e estímulos para mobilizar as famílias para participarem da vida escolar do seu filho, aplicando a legislação vigente, com os propósitos de que a educação seja assumida como responsabilidade de todos.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Estabelecer parceria entre as Secretarias da Educação e Saúde para que os estudantes possam ser atendidos com qualidade, nas questões relativas à saúde física e mental. A </w:t>
            </w:r>
            <w:proofErr w:type="spellStart"/>
            <w:r w:rsidRPr="00F12745">
              <w:rPr>
                <w:rFonts w:ascii="Calibri" w:eastAsia="Times New Roman" w:hAnsi="Calibri" w:cs="Calibri"/>
                <w:color w:val="000000"/>
                <w:lang w:eastAsia="pt-BR"/>
              </w:rPr>
              <w:t>corresponsabilidade</w:t>
            </w:r>
            <w:proofErr w:type="spellEnd"/>
            <w:r w:rsidRPr="00F12745">
              <w:rPr>
                <w:rFonts w:ascii="Calibri" w:eastAsia="Times New Roman" w:hAnsi="Calibri" w:cs="Calibri"/>
                <w:color w:val="000000"/>
                <w:lang w:eastAsia="pt-BR"/>
              </w:rPr>
              <w:t xml:space="preserve"> deve acontecer (escola-acompanhamento; saúde-garantia de atendimento).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Garantir que os atendimentos com psicólogos, fonoaudiólogos, psicopedagogos sejam feitos em horário contrário ao da escola, não prejudicando o andamento das aulas e aprendizagem dos estudantes.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7.19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Universalizar, mediante articulação entre os órgãos responsáveis pelas áreas da saúde e da educação, o atendimento aos estudantes da rede pública de educação básica, por meio de ações de prevenção, promoção e atenção à saúde física e mental.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7.20</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Garantir programas permanentes de prevenção, atenção e atendimento à saúde e à integridade física, mental e moral dos profissionais de educação, como condição para a melhoria de qualidade de ensino.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Anual</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7.21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Implantar e ofertar Educação de Jovens e Adultos (EJA) para a comunidade do campo e urbana, desenvolvendo proposta pedagógica voltada para a realidade.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F12745" w:rsidRPr="00F12745" w:rsidTr="00F1274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both"/>
              <w:rPr>
                <w:rFonts w:ascii="Calibri" w:eastAsia="Times New Roman" w:hAnsi="Calibri" w:cs="Calibri"/>
                <w:color w:val="000000"/>
                <w:lang w:eastAsia="pt-BR"/>
              </w:rPr>
            </w:pPr>
            <w:r w:rsidRPr="00F12745">
              <w:rPr>
                <w:rFonts w:ascii="Calibri" w:eastAsia="Times New Roman" w:hAnsi="Calibri" w:cs="Calibri"/>
                <w:color w:val="000000"/>
                <w:lang w:eastAsia="pt-BR"/>
              </w:rPr>
              <w:t>7.22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 xml:space="preserve"> Realizar levantamento, após três anos, da aprovação do PME, da demanda da Educação de Jovens e Adultos (EJA), encaminhando para o atendimento dessa parcela da </w:t>
            </w:r>
            <w:r w:rsidRPr="00F12745">
              <w:rPr>
                <w:rFonts w:ascii="Calibri" w:eastAsia="Times New Roman" w:hAnsi="Calibri" w:cs="Calibri"/>
                <w:color w:val="000000"/>
                <w:lang w:eastAsia="pt-BR"/>
              </w:rPr>
              <w:lastRenderedPageBreak/>
              <w:t>população e ofertar o transporte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lastRenderedPageBreak/>
              <w:t>Ano 2017</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rPr>
                <w:rFonts w:ascii="Calibri" w:eastAsia="Times New Roman" w:hAnsi="Calibri" w:cs="Calibri"/>
                <w:color w:val="000000"/>
                <w:lang w:eastAsia="pt-BR"/>
              </w:rPr>
            </w:pPr>
            <w:r w:rsidRPr="00F1274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F12745" w:rsidRPr="00F12745" w:rsidRDefault="00F12745" w:rsidP="00F1274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bl>
    <w:p w:rsidR="00F12745" w:rsidRDefault="00F12745" w:rsidP="002D3310">
      <w:pPr>
        <w:rPr>
          <w:rFonts w:ascii="Bookman Old Style" w:hAnsi="Bookman Old Style" w:cs="Times New Roman"/>
          <w:b/>
          <w:color w:val="000000" w:themeColor="text1"/>
          <w:sz w:val="24"/>
          <w:szCs w:val="24"/>
        </w:rPr>
      </w:pPr>
    </w:p>
    <w:p w:rsidR="00F12745" w:rsidRPr="00F12745" w:rsidRDefault="00F12745" w:rsidP="00F12745">
      <w:pPr>
        <w:rPr>
          <w:rFonts w:ascii="Bookman Old Style" w:hAnsi="Bookman Old Style" w:cs="Times New Roman"/>
          <w:b/>
          <w:color w:val="000000" w:themeColor="text1"/>
          <w:sz w:val="24"/>
          <w:szCs w:val="24"/>
        </w:rPr>
      </w:pPr>
      <w:r w:rsidRPr="00F12745">
        <w:rPr>
          <w:rFonts w:ascii="Bookman Old Style" w:hAnsi="Bookman Old Style" w:cs="Times New Roman"/>
          <w:b/>
          <w:color w:val="000000" w:themeColor="text1"/>
          <w:sz w:val="24"/>
          <w:szCs w:val="24"/>
        </w:rPr>
        <w:t>Conclusão a respeito da Meta:</w:t>
      </w:r>
    </w:p>
    <w:p w:rsidR="00F12745" w:rsidRPr="00F12745" w:rsidRDefault="00F12745" w:rsidP="00485849">
      <w:pPr>
        <w:ind w:firstLine="567"/>
        <w:jc w:val="both"/>
        <w:rPr>
          <w:rFonts w:ascii="Bookman Old Style" w:hAnsi="Bookman Old Style" w:cs="Times New Roman"/>
          <w:color w:val="000000" w:themeColor="text1"/>
          <w:sz w:val="24"/>
          <w:szCs w:val="24"/>
        </w:rPr>
      </w:pPr>
      <w:r w:rsidRPr="00F12745">
        <w:rPr>
          <w:rFonts w:ascii="Bookman Old Style" w:hAnsi="Bookman Old Style" w:cs="Times New Roman"/>
          <w:color w:val="000000" w:themeColor="text1"/>
          <w:sz w:val="24"/>
          <w:szCs w:val="24"/>
        </w:rPr>
        <w:t xml:space="preserve">A elevação dos índices de média do IDEB para o ensino fundamental; séries iniciais e finais passa pelo investimento em formação de professores, atividades pedagógicas complementares às de sala de aula. Há também de investir-se na </w:t>
      </w:r>
      <w:proofErr w:type="spellStart"/>
      <w:r w:rsidRPr="00F12745">
        <w:rPr>
          <w:rFonts w:ascii="Bookman Old Style" w:hAnsi="Bookman Old Style" w:cs="Times New Roman"/>
          <w:color w:val="000000" w:themeColor="text1"/>
          <w:sz w:val="24"/>
          <w:szCs w:val="24"/>
        </w:rPr>
        <w:t>infraestrutura</w:t>
      </w:r>
      <w:proofErr w:type="spellEnd"/>
      <w:r w:rsidRPr="00F12745">
        <w:rPr>
          <w:rFonts w:ascii="Bookman Old Style" w:hAnsi="Bookman Old Style" w:cs="Times New Roman"/>
          <w:color w:val="000000" w:themeColor="text1"/>
          <w:sz w:val="24"/>
          <w:szCs w:val="24"/>
        </w:rPr>
        <w:t xml:space="preserve"> física (laboratórios, biblioteca), para qualificar o atendimento dos estudantes, e proporcionar instrumentos para potenciar o conhecimento e </w:t>
      </w:r>
      <w:proofErr w:type="spellStart"/>
      <w:r w:rsidRPr="00F12745">
        <w:rPr>
          <w:rFonts w:ascii="Bookman Old Style" w:hAnsi="Bookman Old Style" w:cs="Times New Roman"/>
          <w:color w:val="000000" w:themeColor="text1"/>
          <w:sz w:val="24"/>
          <w:szCs w:val="24"/>
        </w:rPr>
        <w:t>consequentemente</w:t>
      </w:r>
      <w:proofErr w:type="spellEnd"/>
      <w:r w:rsidRPr="00F12745">
        <w:rPr>
          <w:rFonts w:ascii="Bookman Old Style" w:hAnsi="Bookman Old Style" w:cs="Times New Roman"/>
          <w:color w:val="000000" w:themeColor="text1"/>
          <w:sz w:val="24"/>
          <w:szCs w:val="24"/>
        </w:rPr>
        <w:t xml:space="preserve"> elevar os índices do IDEB nos anos </w:t>
      </w:r>
      <w:proofErr w:type="spellStart"/>
      <w:r w:rsidRPr="00F12745">
        <w:rPr>
          <w:rFonts w:ascii="Bookman Old Style" w:hAnsi="Bookman Old Style" w:cs="Times New Roman"/>
          <w:color w:val="000000" w:themeColor="text1"/>
          <w:sz w:val="24"/>
          <w:szCs w:val="24"/>
        </w:rPr>
        <w:t>subsequentes</w:t>
      </w:r>
      <w:proofErr w:type="spellEnd"/>
      <w:r w:rsidRPr="00F12745">
        <w:rPr>
          <w:rFonts w:ascii="Bookman Old Style" w:hAnsi="Bookman Old Style" w:cs="Times New Roman"/>
          <w:color w:val="000000" w:themeColor="text1"/>
          <w:sz w:val="24"/>
          <w:szCs w:val="24"/>
        </w:rPr>
        <w:t>. A manutenção do aluno em sala de aula de forma qualificada deve ser priorizada, e dá-se por meio da manutenção e atuação da Rede de Apoio a Escola. A garantia de programas que contemplem a saúde física e mental dos estudantes contribuirá de forma significativa para a constante e qualificada aprendizagem dos alunos.</w:t>
      </w:r>
    </w:p>
    <w:p w:rsidR="00F12745" w:rsidRPr="00F12745" w:rsidRDefault="00F12745" w:rsidP="00485849">
      <w:pPr>
        <w:ind w:firstLine="567"/>
        <w:jc w:val="both"/>
        <w:rPr>
          <w:rFonts w:ascii="Bookman Old Style" w:hAnsi="Bookman Old Style" w:cs="Times New Roman"/>
          <w:color w:val="000000" w:themeColor="text1"/>
          <w:sz w:val="24"/>
          <w:szCs w:val="24"/>
        </w:rPr>
      </w:pPr>
      <w:r w:rsidRPr="00F12745">
        <w:rPr>
          <w:rFonts w:ascii="Bookman Old Style" w:hAnsi="Bookman Old Style" w:cs="Times New Roman"/>
          <w:color w:val="000000" w:themeColor="text1"/>
          <w:sz w:val="24"/>
          <w:szCs w:val="24"/>
        </w:rPr>
        <w:t xml:space="preserve"> Recomendamos também à Secretaria de Educação que adira à avaliação da “Prova Brasil” no Sistema Municipal de Ensino, uma vez que é um importante instrumental para avaliarmos os índices do IDEB, e imprescindível para realizarmos o correto e qualificado monitoramento do Plano. </w:t>
      </w:r>
    </w:p>
    <w:p w:rsidR="00F12745" w:rsidRDefault="00F12745" w:rsidP="002D3310">
      <w:pPr>
        <w:rPr>
          <w:rFonts w:ascii="Bookman Old Style" w:hAnsi="Bookman Old Style" w:cs="Times New Roman"/>
          <w:b/>
          <w:color w:val="000000" w:themeColor="text1"/>
          <w:sz w:val="24"/>
          <w:szCs w:val="24"/>
        </w:rPr>
      </w:pPr>
    </w:p>
    <w:p w:rsidR="00F01C84" w:rsidRPr="00D81FEF" w:rsidRDefault="00F01C84" w:rsidP="00D81FEF">
      <w:pPr>
        <w:pStyle w:val="Ttulo1"/>
        <w:numPr>
          <w:ilvl w:val="0"/>
          <w:numId w:val="24"/>
        </w:numPr>
        <w:rPr>
          <w:rFonts w:ascii="Bookman Old Style" w:hAnsi="Bookman Old Style"/>
          <w:color w:val="auto"/>
        </w:rPr>
      </w:pPr>
      <w:bookmarkStart w:id="11" w:name="_Toc497809477"/>
      <w:r w:rsidRPr="00D81FEF">
        <w:rPr>
          <w:rFonts w:ascii="Bookman Old Style" w:hAnsi="Bookman Old Style"/>
          <w:color w:val="auto"/>
        </w:rPr>
        <w:t xml:space="preserve">Meta sobre a </w:t>
      </w:r>
      <w:r w:rsidR="00216EAD" w:rsidRPr="00D81FEF">
        <w:rPr>
          <w:rFonts w:ascii="Bookman Old Style" w:hAnsi="Bookman Old Style"/>
          <w:color w:val="auto"/>
        </w:rPr>
        <w:t>E</w:t>
      </w:r>
      <w:r w:rsidRPr="00D81FEF">
        <w:rPr>
          <w:rFonts w:ascii="Bookman Old Style" w:hAnsi="Bookman Old Style"/>
          <w:color w:val="auto"/>
        </w:rPr>
        <w:t xml:space="preserve">scolaridade </w:t>
      </w:r>
      <w:r w:rsidR="00216EAD" w:rsidRPr="00D81FEF">
        <w:rPr>
          <w:rFonts w:ascii="Bookman Old Style" w:hAnsi="Bookman Old Style"/>
          <w:color w:val="auto"/>
        </w:rPr>
        <w:t>Média</w:t>
      </w:r>
      <w:bookmarkEnd w:id="11"/>
    </w:p>
    <w:p w:rsidR="00D81FEF" w:rsidRPr="00D81FEF" w:rsidRDefault="00D81FEF" w:rsidP="00D81FEF"/>
    <w:p w:rsidR="00A158C9" w:rsidRPr="00B3094D" w:rsidRDefault="00A158C9" w:rsidP="00F12745">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7F3A65">
        <w:rPr>
          <w:rFonts w:ascii="Bookman Old Style" w:hAnsi="Bookman Old Style" w:cs="Times New Roman"/>
          <w:b/>
          <w:color w:val="000000" w:themeColor="text1"/>
          <w:sz w:val="24"/>
          <w:szCs w:val="24"/>
        </w:rPr>
        <w:t xml:space="preserve"> nº. 08:</w:t>
      </w:r>
      <w:r w:rsidRPr="00B3094D">
        <w:rPr>
          <w:rFonts w:ascii="Bookman Old Style" w:hAnsi="Bookman Old Style" w:cs="Times New Roman"/>
          <w:b/>
          <w:color w:val="000000" w:themeColor="text1"/>
          <w:sz w:val="24"/>
          <w:szCs w:val="24"/>
        </w:rPr>
        <w:t xml:space="preserve"> </w:t>
      </w:r>
      <w:r w:rsidR="00F12745" w:rsidRPr="00F12745">
        <w:rPr>
          <w:rFonts w:ascii="Bookman Old Style" w:hAnsi="Bookman Old Style" w:cs="Times New Roman"/>
          <w:b/>
          <w:color w:val="000000" w:themeColor="text1"/>
          <w:sz w:val="24"/>
          <w:szCs w:val="24"/>
        </w:rPr>
        <w:t xml:space="preserve">Elevar a escolaridade média da população de 18 a 29 anos, de modo a alcançar no mínimo 12 anos de estudo no último ano, para as populações do campo, da região de menor escolaridade no país e dos 25% mais pobres, e igualar a escolaridade média entre negros e não </w:t>
      </w:r>
      <w:proofErr w:type="gramStart"/>
      <w:r w:rsidR="00F12745" w:rsidRPr="00F12745">
        <w:rPr>
          <w:rFonts w:ascii="Bookman Old Style" w:hAnsi="Bookman Old Style" w:cs="Times New Roman"/>
          <w:b/>
          <w:color w:val="000000" w:themeColor="text1"/>
          <w:sz w:val="24"/>
          <w:szCs w:val="24"/>
        </w:rPr>
        <w:t>negros declarados à Fundação Instituto Brasileiro de Geografia</w:t>
      </w:r>
      <w:proofErr w:type="gramEnd"/>
      <w:r w:rsidR="00F12745" w:rsidRPr="00F12745">
        <w:rPr>
          <w:rFonts w:ascii="Bookman Old Style" w:hAnsi="Bookman Old Style" w:cs="Times New Roman"/>
          <w:b/>
          <w:color w:val="000000" w:themeColor="text1"/>
          <w:sz w:val="24"/>
          <w:szCs w:val="24"/>
        </w:rPr>
        <w:t xml:space="preserve"> e Estatística (IBGE).</w:t>
      </w:r>
    </w:p>
    <w:p w:rsidR="00704102"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F12745" w:rsidRPr="00D049A9" w:rsidTr="007F3A65">
        <w:trPr>
          <w:gridBefore w:val="1"/>
          <w:wBefore w:w="1456" w:type="dxa"/>
          <w:trHeight w:val="948"/>
        </w:trPr>
        <w:tc>
          <w:tcPr>
            <w:tcW w:w="1330" w:type="dxa"/>
            <w:vAlign w:val="center"/>
          </w:tcPr>
          <w:p w:rsidR="00F12745" w:rsidRPr="00D049A9" w:rsidRDefault="00F12745" w:rsidP="007F3A65">
            <w:pPr>
              <w:rPr>
                <w:rFonts w:ascii="Bookman Old Style" w:hAnsi="Bookman Old Style" w:cs="Times New Roman"/>
                <w:color w:val="000000" w:themeColor="text1"/>
                <w:sz w:val="20"/>
                <w:szCs w:val="20"/>
              </w:rPr>
            </w:pPr>
          </w:p>
          <w:p w:rsidR="00F12745" w:rsidRDefault="00F1274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F12745" w:rsidRPr="00D049A9" w:rsidRDefault="00F12745" w:rsidP="007F3A65">
            <w:pPr>
              <w:jc w:val="center"/>
              <w:rPr>
                <w:rFonts w:ascii="Bookman Old Style" w:hAnsi="Bookman Old Style" w:cs="Times New Roman"/>
                <w:color w:val="000000" w:themeColor="text1"/>
                <w:sz w:val="20"/>
                <w:szCs w:val="20"/>
              </w:rPr>
            </w:pPr>
            <w:proofErr w:type="gramStart"/>
            <w:r w:rsidRPr="00E56AAD">
              <w:rPr>
                <w:rFonts w:ascii="Bookman Old Style" w:hAnsi="Bookman Old Style" w:cs="Times New Roman"/>
                <w:b/>
                <w:color w:val="000000" w:themeColor="text1"/>
                <w:sz w:val="20"/>
                <w:szCs w:val="20"/>
              </w:rPr>
              <w:t>8</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A</w:t>
            </w:r>
          </w:p>
          <w:p w:rsidR="00F12745" w:rsidRPr="00D049A9" w:rsidRDefault="00F12745" w:rsidP="007F3A65">
            <w:pPr>
              <w:jc w:val="center"/>
              <w:rPr>
                <w:rFonts w:ascii="Bookman Old Style" w:hAnsi="Bookman Old Style" w:cs="Times New Roman"/>
                <w:color w:val="000000" w:themeColor="text1"/>
                <w:sz w:val="20"/>
                <w:szCs w:val="20"/>
              </w:rPr>
            </w:pPr>
          </w:p>
        </w:tc>
        <w:tc>
          <w:tcPr>
            <w:tcW w:w="7640" w:type="dxa"/>
            <w:gridSpan w:val="3"/>
            <w:vAlign w:val="center"/>
          </w:tcPr>
          <w:p w:rsidR="00F12745" w:rsidRPr="00D049A9" w:rsidRDefault="00E56AAD" w:rsidP="007F3A65">
            <w:pPr>
              <w:jc w:val="center"/>
              <w:rPr>
                <w:rFonts w:ascii="Bookman Old Style" w:hAnsi="Bookman Old Style" w:cs="Times New Roman"/>
                <w:b/>
                <w:color w:val="000000" w:themeColor="text1"/>
                <w:sz w:val="20"/>
                <w:szCs w:val="20"/>
              </w:rPr>
            </w:pPr>
            <w:r w:rsidRPr="00E56AAD">
              <w:rPr>
                <w:rFonts w:ascii="Bookman Old Style" w:hAnsi="Bookman Old Style" w:cs="Times New Roman"/>
                <w:b/>
                <w:color w:val="000000" w:themeColor="text1"/>
                <w:sz w:val="20"/>
                <w:szCs w:val="20"/>
              </w:rPr>
              <w:t>Percentual da População de 18 e 29 anos com menos de 12 anos de escolaridade.</w:t>
            </w:r>
          </w:p>
        </w:tc>
      </w:tr>
      <w:tr w:rsidR="00F12745" w:rsidRPr="00D049A9" w:rsidTr="007F3A65">
        <w:tblPrEx>
          <w:tblCellMar>
            <w:left w:w="108" w:type="dxa"/>
            <w:right w:w="108" w:type="dxa"/>
          </w:tblCellMar>
          <w:tblLook w:val="04A0"/>
        </w:tblPrEx>
        <w:trPr>
          <w:gridBefore w:val="1"/>
          <w:wBefore w:w="1456" w:type="dxa"/>
          <w:trHeight w:val="325"/>
        </w:trPr>
        <w:tc>
          <w:tcPr>
            <w:tcW w:w="1330" w:type="dxa"/>
            <w:vAlign w:val="center"/>
          </w:tcPr>
          <w:p w:rsidR="00F12745" w:rsidRPr="00D049A9" w:rsidRDefault="00F1274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F12745" w:rsidRPr="00D049A9" w:rsidRDefault="00F1274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F12745" w:rsidRPr="00D049A9" w:rsidRDefault="00F12745"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F12745" w:rsidRPr="00D049A9" w:rsidTr="007F3A65">
        <w:trPr>
          <w:trHeight w:val="284"/>
        </w:trPr>
        <w:tc>
          <w:tcPr>
            <w:tcW w:w="1456" w:type="dxa"/>
            <w:vMerge w:val="restart"/>
            <w:tcBorders>
              <w:top w:val="nil"/>
              <w:left w:val="nil"/>
              <w:bottom w:val="nil"/>
            </w:tcBorders>
            <w:shd w:val="clear" w:color="auto" w:fill="auto"/>
            <w:vAlign w:val="center"/>
          </w:tcPr>
          <w:p w:rsidR="00F12745" w:rsidRPr="00D049A9" w:rsidRDefault="00F12745" w:rsidP="007F3A65">
            <w:pPr>
              <w:jc w:val="center"/>
              <w:rPr>
                <w:rFonts w:ascii="Bookman Old Style" w:hAnsi="Bookman Old Style" w:cs="Times New Roman"/>
                <w:color w:val="000000" w:themeColor="text1"/>
                <w:sz w:val="20"/>
                <w:szCs w:val="20"/>
              </w:rPr>
            </w:pPr>
          </w:p>
        </w:tc>
        <w:tc>
          <w:tcPr>
            <w:tcW w:w="1330" w:type="dxa"/>
            <w:vMerge w:val="restart"/>
            <w:vAlign w:val="center"/>
          </w:tcPr>
          <w:p w:rsidR="00F12745"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70%</w:t>
            </w:r>
          </w:p>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12 anos</w:t>
            </w:r>
          </w:p>
        </w:tc>
        <w:tc>
          <w:tcPr>
            <w:tcW w:w="1292" w:type="dxa"/>
            <w:vAlign w:val="center"/>
          </w:tcPr>
          <w:p w:rsidR="00F12745" w:rsidRPr="00D049A9" w:rsidRDefault="00F1274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F12745"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47%</w:t>
            </w:r>
          </w:p>
        </w:tc>
        <w:tc>
          <w:tcPr>
            <w:tcW w:w="4649" w:type="dxa"/>
            <w:vAlign w:val="center"/>
          </w:tcPr>
          <w:p w:rsidR="00F12745" w:rsidRPr="00D049A9" w:rsidRDefault="00E56AAD"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p>
        </w:tc>
      </w:tr>
      <w:tr w:rsidR="00F12745" w:rsidRPr="00D049A9" w:rsidTr="007F3A65">
        <w:trPr>
          <w:trHeight w:val="284"/>
        </w:trPr>
        <w:tc>
          <w:tcPr>
            <w:tcW w:w="1456" w:type="dxa"/>
            <w:vMerge/>
            <w:tcBorders>
              <w:left w:val="nil"/>
              <w:bottom w:val="nil"/>
            </w:tcBorders>
            <w:shd w:val="clear" w:color="auto" w:fill="auto"/>
            <w:vAlign w:val="center"/>
          </w:tcPr>
          <w:p w:rsidR="00F12745" w:rsidRPr="00D049A9" w:rsidRDefault="00F12745" w:rsidP="007F3A65">
            <w:pPr>
              <w:jc w:val="center"/>
              <w:rPr>
                <w:rFonts w:ascii="Bookman Old Style" w:hAnsi="Bookman Old Style" w:cs="Times New Roman"/>
                <w:color w:val="000000" w:themeColor="text1"/>
                <w:sz w:val="20"/>
                <w:szCs w:val="20"/>
              </w:rPr>
            </w:pPr>
          </w:p>
        </w:tc>
        <w:tc>
          <w:tcPr>
            <w:tcW w:w="1330" w:type="dxa"/>
            <w:vMerge/>
            <w:vAlign w:val="center"/>
          </w:tcPr>
          <w:p w:rsidR="00F12745" w:rsidRPr="00D049A9" w:rsidRDefault="00F12745" w:rsidP="007F3A65">
            <w:pPr>
              <w:jc w:val="center"/>
              <w:rPr>
                <w:rFonts w:ascii="Bookman Old Style" w:hAnsi="Bookman Old Style" w:cs="Times New Roman"/>
                <w:b/>
                <w:color w:val="000000" w:themeColor="text1"/>
                <w:sz w:val="20"/>
                <w:szCs w:val="20"/>
              </w:rPr>
            </w:pPr>
          </w:p>
        </w:tc>
        <w:tc>
          <w:tcPr>
            <w:tcW w:w="1292" w:type="dxa"/>
            <w:vAlign w:val="center"/>
          </w:tcPr>
          <w:p w:rsidR="00F12745" w:rsidRPr="00D049A9" w:rsidRDefault="00F12745" w:rsidP="007F3A65">
            <w:pPr>
              <w:jc w:val="center"/>
              <w:rPr>
                <w:rFonts w:ascii="Bookman Old Style" w:hAnsi="Bookman Old Style" w:cs="Times New Roman"/>
                <w:color w:val="000000" w:themeColor="text1"/>
                <w:sz w:val="20"/>
                <w:szCs w:val="20"/>
              </w:rPr>
            </w:pPr>
          </w:p>
        </w:tc>
        <w:tc>
          <w:tcPr>
            <w:tcW w:w="1699" w:type="dxa"/>
            <w:vAlign w:val="center"/>
          </w:tcPr>
          <w:p w:rsidR="00F12745" w:rsidRPr="00D049A9" w:rsidRDefault="00F12745" w:rsidP="007F3A65">
            <w:pPr>
              <w:jc w:val="center"/>
              <w:rPr>
                <w:rFonts w:ascii="Bookman Old Style" w:hAnsi="Bookman Old Style" w:cs="Times New Roman"/>
                <w:b/>
                <w:color w:val="000000" w:themeColor="text1"/>
                <w:sz w:val="20"/>
                <w:szCs w:val="20"/>
              </w:rPr>
            </w:pPr>
          </w:p>
        </w:tc>
        <w:tc>
          <w:tcPr>
            <w:tcW w:w="4649" w:type="dxa"/>
            <w:vAlign w:val="center"/>
          </w:tcPr>
          <w:p w:rsidR="00F12745" w:rsidRPr="00D049A9" w:rsidRDefault="00E56AAD" w:rsidP="007F3A65">
            <w:pPr>
              <w:jc w:val="both"/>
              <w:rPr>
                <w:rFonts w:ascii="Bookman Old Style" w:hAnsi="Bookman Old Style" w:cs="Times New Roman"/>
                <w:color w:val="000000" w:themeColor="text1"/>
                <w:sz w:val="20"/>
                <w:szCs w:val="20"/>
              </w:rPr>
            </w:pPr>
            <w:r>
              <w:t>**acesso em dezembro de 2016.</w:t>
            </w:r>
          </w:p>
        </w:tc>
      </w:tr>
    </w:tbl>
    <w:p w:rsidR="00704102"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E56AAD" w:rsidRPr="00D049A9" w:rsidTr="007F3A65">
        <w:trPr>
          <w:gridBefore w:val="1"/>
          <w:wBefore w:w="1456" w:type="dxa"/>
          <w:trHeight w:val="948"/>
        </w:trPr>
        <w:tc>
          <w:tcPr>
            <w:tcW w:w="1330" w:type="dxa"/>
            <w:vAlign w:val="center"/>
          </w:tcPr>
          <w:p w:rsidR="00E56AAD" w:rsidRPr="00D049A9" w:rsidRDefault="00E56AAD" w:rsidP="007F3A65">
            <w:pPr>
              <w:rPr>
                <w:rFonts w:ascii="Bookman Old Style" w:hAnsi="Bookman Old Style" w:cs="Times New Roman"/>
                <w:color w:val="000000" w:themeColor="text1"/>
                <w:sz w:val="20"/>
                <w:szCs w:val="20"/>
              </w:rPr>
            </w:pPr>
          </w:p>
          <w:p w:rsidR="00E56AAD"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56AAD" w:rsidRPr="00D049A9" w:rsidRDefault="00E56AAD" w:rsidP="007F3A65">
            <w:pPr>
              <w:jc w:val="center"/>
              <w:rPr>
                <w:rFonts w:ascii="Bookman Old Style" w:hAnsi="Bookman Old Style" w:cs="Times New Roman"/>
                <w:color w:val="000000" w:themeColor="text1"/>
                <w:sz w:val="20"/>
                <w:szCs w:val="20"/>
              </w:rPr>
            </w:pPr>
            <w:proofErr w:type="gramStart"/>
            <w:r w:rsidRPr="00E56AAD">
              <w:rPr>
                <w:rFonts w:ascii="Bookman Old Style" w:hAnsi="Bookman Old Style" w:cs="Times New Roman"/>
                <w:b/>
                <w:color w:val="000000" w:themeColor="text1"/>
                <w:sz w:val="20"/>
                <w:szCs w:val="20"/>
              </w:rPr>
              <w:t>8</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B</w:t>
            </w:r>
          </w:p>
          <w:p w:rsidR="00E56AAD" w:rsidRPr="00D049A9" w:rsidRDefault="00E56AAD" w:rsidP="007F3A65">
            <w:pPr>
              <w:jc w:val="center"/>
              <w:rPr>
                <w:rFonts w:ascii="Bookman Old Style" w:hAnsi="Bookman Old Style" w:cs="Times New Roman"/>
                <w:color w:val="000000" w:themeColor="text1"/>
                <w:sz w:val="20"/>
                <w:szCs w:val="20"/>
              </w:rPr>
            </w:pPr>
          </w:p>
        </w:tc>
        <w:tc>
          <w:tcPr>
            <w:tcW w:w="7640" w:type="dxa"/>
            <w:gridSpan w:val="3"/>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E56AAD">
              <w:rPr>
                <w:rFonts w:ascii="Bookman Old Style" w:hAnsi="Bookman Old Style" w:cs="Times New Roman"/>
                <w:b/>
                <w:color w:val="000000" w:themeColor="text1"/>
                <w:sz w:val="20"/>
                <w:szCs w:val="20"/>
              </w:rPr>
              <w:t>Percentual da População de 18 e 29 anos residente no campo com menos de 12 anos de escolaridade.</w:t>
            </w:r>
          </w:p>
        </w:tc>
      </w:tr>
      <w:tr w:rsidR="00E56AAD" w:rsidRPr="00D049A9" w:rsidTr="007F3A65">
        <w:tblPrEx>
          <w:tblCellMar>
            <w:left w:w="108" w:type="dxa"/>
            <w:right w:w="108" w:type="dxa"/>
          </w:tblCellMar>
          <w:tblLook w:val="04A0"/>
        </w:tblPrEx>
        <w:trPr>
          <w:gridBefore w:val="1"/>
          <w:wBefore w:w="1456" w:type="dxa"/>
          <w:trHeight w:val="325"/>
        </w:trPr>
        <w:tc>
          <w:tcPr>
            <w:tcW w:w="1330"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56AAD" w:rsidRPr="00D049A9" w:rsidTr="007F3A65">
        <w:trPr>
          <w:trHeight w:val="284"/>
        </w:trPr>
        <w:tc>
          <w:tcPr>
            <w:tcW w:w="1456" w:type="dxa"/>
            <w:vMerge w:val="restart"/>
            <w:tcBorders>
              <w:top w:val="nil"/>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56AAD"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20%</w:t>
            </w:r>
          </w:p>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12 anos</w:t>
            </w: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56,80%</w:t>
            </w: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p>
        </w:tc>
      </w:tr>
      <w:tr w:rsidR="00E56AAD" w:rsidRPr="00D049A9" w:rsidTr="007F3A65">
        <w:trPr>
          <w:trHeight w:val="284"/>
        </w:trPr>
        <w:tc>
          <w:tcPr>
            <w:tcW w:w="1456" w:type="dxa"/>
            <w:vMerge/>
            <w:tcBorders>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t>**acesso em dezembro de 2016.</w:t>
            </w:r>
          </w:p>
        </w:tc>
      </w:tr>
    </w:tbl>
    <w:p w:rsidR="00E56AAD" w:rsidRDefault="00E56AAD"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E56AAD" w:rsidRPr="00D049A9" w:rsidTr="007F3A65">
        <w:trPr>
          <w:gridBefore w:val="1"/>
          <w:wBefore w:w="1456" w:type="dxa"/>
          <w:trHeight w:val="948"/>
        </w:trPr>
        <w:tc>
          <w:tcPr>
            <w:tcW w:w="1330" w:type="dxa"/>
            <w:vAlign w:val="center"/>
          </w:tcPr>
          <w:p w:rsidR="00E56AAD" w:rsidRPr="00D049A9" w:rsidRDefault="00E56AAD" w:rsidP="007F3A65">
            <w:pPr>
              <w:rPr>
                <w:rFonts w:ascii="Bookman Old Style" w:hAnsi="Bookman Old Style" w:cs="Times New Roman"/>
                <w:color w:val="000000" w:themeColor="text1"/>
                <w:sz w:val="20"/>
                <w:szCs w:val="20"/>
              </w:rPr>
            </w:pPr>
          </w:p>
          <w:p w:rsidR="00E56AAD"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56AAD" w:rsidRPr="00D049A9" w:rsidRDefault="00E56AAD" w:rsidP="007F3A65">
            <w:pPr>
              <w:jc w:val="center"/>
              <w:rPr>
                <w:rFonts w:ascii="Bookman Old Style" w:hAnsi="Bookman Old Style" w:cs="Times New Roman"/>
                <w:color w:val="000000" w:themeColor="text1"/>
                <w:sz w:val="20"/>
                <w:szCs w:val="20"/>
              </w:rPr>
            </w:pPr>
            <w:proofErr w:type="gramStart"/>
            <w:r w:rsidRPr="00E56AAD">
              <w:rPr>
                <w:rFonts w:ascii="Bookman Old Style" w:hAnsi="Bookman Old Style" w:cs="Times New Roman"/>
                <w:b/>
                <w:color w:val="000000" w:themeColor="text1"/>
                <w:sz w:val="20"/>
                <w:szCs w:val="20"/>
              </w:rPr>
              <w:t>8</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C</w:t>
            </w:r>
          </w:p>
          <w:p w:rsidR="00E56AAD" w:rsidRPr="00D049A9" w:rsidRDefault="00E56AAD" w:rsidP="007F3A65">
            <w:pPr>
              <w:jc w:val="center"/>
              <w:rPr>
                <w:rFonts w:ascii="Bookman Old Style" w:hAnsi="Bookman Old Style" w:cs="Times New Roman"/>
                <w:color w:val="000000" w:themeColor="text1"/>
                <w:sz w:val="20"/>
                <w:szCs w:val="20"/>
              </w:rPr>
            </w:pPr>
          </w:p>
        </w:tc>
        <w:tc>
          <w:tcPr>
            <w:tcW w:w="7640" w:type="dxa"/>
            <w:gridSpan w:val="3"/>
            <w:vAlign w:val="center"/>
          </w:tcPr>
          <w:p w:rsidR="00E56AAD" w:rsidRPr="00D049A9" w:rsidRDefault="00E56AAD" w:rsidP="00E56AAD">
            <w:pPr>
              <w:jc w:val="center"/>
              <w:rPr>
                <w:rFonts w:ascii="Bookman Old Style" w:hAnsi="Bookman Old Style" w:cs="Times New Roman"/>
                <w:b/>
                <w:color w:val="000000" w:themeColor="text1"/>
                <w:sz w:val="20"/>
                <w:szCs w:val="20"/>
              </w:rPr>
            </w:pPr>
            <w:r w:rsidRPr="00E56AAD">
              <w:rPr>
                <w:rFonts w:ascii="Bookman Old Style" w:hAnsi="Bookman Old Style" w:cs="Times New Roman"/>
                <w:b/>
                <w:color w:val="000000" w:themeColor="text1"/>
                <w:sz w:val="20"/>
                <w:szCs w:val="20"/>
              </w:rPr>
              <w:t>Percentual da População de 18 e 29 anos entre os 25% mais pobres com menos de 12 anos de escolaridade.</w:t>
            </w:r>
          </w:p>
        </w:tc>
      </w:tr>
      <w:tr w:rsidR="00E56AAD" w:rsidRPr="00D049A9" w:rsidTr="007F3A65">
        <w:tblPrEx>
          <w:tblCellMar>
            <w:left w:w="108" w:type="dxa"/>
            <w:right w:w="108" w:type="dxa"/>
          </w:tblCellMar>
          <w:tblLook w:val="04A0"/>
        </w:tblPrEx>
        <w:trPr>
          <w:gridBefore w:val="1"/>
          <w:wBefore w:w="1456" w:type="dxa"/>
          <w:trHeight w:val="325"/>
        </w:trPr>
        <w:tc>
          <w:tcPr>
            <w:tcW w:w="1330"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56AAD" w:rsidRPr="00D049A9" w:rsidTr="007F3A65">
        <w:trPr>
          <w:trHeight w:val="284"/>
        </w:trPr>
        <w:tc>
          <w:tcPr>
            <w:tcW w:w="1456" w:type="dxa"/>
            <w:vMerge w:val="restart"/>
            <w:tcBorders>
              <w:top w:val="nil"/>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56AAD"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12 anos</w:t>
            </w: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88,10%</w:t>
            </w: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E56AAD" w:rsidRPr="00D049A9" w:rsidTr="007F3A65">
        <w:trPr>
          <w:trHeight w:val="284"/>
        </w:trPr>
        <w:tc>
          <w:tcPr>
            <w:tcW w:w="1456" w:type="dxa"/>
            <w:vMerge/>
            <w:tcBorders>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t>**acesso em dezembro de 2016.</w:t>
            </w:r>
          </w:p>
        </w:tc>
      </w:tr>
      <w:tr w:rsidR="00E56AAD" w:rsidRPr="00D049A9" w:rsidTr="007F3A65">
        <w:trPr>
          <w:gridBefore w:val="1"/>
          <w:wBefore w:w="1456" w:type="dxa"/>
          <w:trHeight w:val="948"/>
        </w:trPr>
        <w:tc>
          <w:tcPr>
            <w:tcW w:w="1330" w:type="dxa"/>
            <w:vAlign w:val="center"/>
          </w:tcPr>
          <w:p w:rsidR="00E56AAD" w:rsidRPr="00D049A9" w:rsidRDefault="00E56AAD" w:rsidP="007F3A65">
            <w:pPr>
              <w:rPr>
                <w:rFonts w:ascii="Bookman Old Style" w:hAnsi="Bookman Old Style" w:cs="Times New Roman"/>
                <w:color w:val="000000" w:themeColor="text1"/>
                <w:sz w:val="20"/>
                <w:szCs w:val="20"/>
              </w:rPr>
            </w:pPr>
          </w:p>
          <w:p w:rsidR="00E56AAD"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E56AAD" w:rsidRPr="00D049A9" w:rsidRDefault="00E56AAD" w:rsidP="007F3A65">
            <w:pPr>
              <w:jc w:val="center"/>
              <w:rPr>
                <w:rFonts w:ascii="Bookman Old Style" w:hAnsi="Bookman Old Style" w:cs="Times New Roman"/>
                <w:color w:val="000000" w:themeColor="text1"/>
                <w:sz w:val="20"/>
                <w:szCs w:val="20"/>
              </w:rPr>
            </w:pPr>
            <w:proofErr w:type="gramStart"/>
            <w:r w:rsidRPr="00E56AAD">
              <w:rPr>
                <w:rFonts w:ascii="Bookman Old Style" w:hAnsi="Bookman Old Style" w:cs="Times New Roman"/>
                <w:b/>
                <w:color w:val="000000" w:themeColor="text1"/>
                <w:sz w:val="20"/>
                <w:szCs w:val="20"/>
              </w:rPr>
              <w:t>8</w:t>
            </w:r>
            <w:proofErr w:type="gramEnd"/>
            <w:r w:rsidRPr="00D049A9">
              <w:rPr>
                <w:rFonts w:ascii="Bookman Old Style" w:hAnsi="Bookman Old Style" w:cs="Times New Roman"/>
                <w:b/>
                <w:color w:val="000000" w:themeColor="text1"/>
                <w:sz w:val="20"/>
                <w:szCs w:val="20"/>
              </w:rPr>
              <w:t xml:space="preserve"> </w:t>
            </w:r>
            <w:r>
              <w:rPr>
                <w:rFonts w:ascii="Bookman Old Style" w:hAnsi="Bookman Old Style" w:cs="Times New Roman"/>
                <w:b/>
                <w:color w:val="000000" w:themeColor="text1"/>
                <w:sz w:val="20"/>
                <w:szCs w:val="20"/>
              </w:rPr>
              <w:t>D</w:t>
            </w:r>
          </w:p>
          <w:p w:rsidR="00E56AAD" w:rsidRPr="00D049A9" w:rsidRDefault="00E56AAD" w:rsidP="007F3A65">
            <w:pPr>
              <w:jc w:val="center"/>
              <w:rPr>
                <w:rFonts w:ascii="Bookman Old Style" w:hAnsi="Bookman Old Style" w:cs="Times New Roman"/>
                <w:color w:val="000000" w:themeColor="text1"/>
                <w:sz w:val="20"/>
                <w:szCs w:val="20"/>
              </w:rPr>
            </w:pPr>
          </w:p>
        </w:tc>
        <w:tc>
          <w:tcPr>
            <w:tcW w:w="7640" w:type="dxa"/>
            <w:gridSpan w:val="3"/>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E56AAD">
              <w:rPr>
                <w:rFonts w:ascii="Bookman Old Style" w:hAnsi="Bookman Old Style" w:cs="Times New Roman"/>
                <w:b/>
                <w:color w:val="000000" w:themeColor="text1"/>
                <w:sz w:val="20"/>
                <w:szCs w:val="20"/>
              </w:rPr>
              <w:t>Razão entre a escolaridade média de negros e não negros na faixa etária de 18 a 29 anos</w:t>
            </w:r>
          </w:p>
        </w:tc>
      </w:tr>
      <w:tr w:rsidR="00E56AAD" w:rsidRPr="00D049A9" w:rsidTr="007F3A65">
        <w:tblPrEx>
          <w:tblCellMar>
            <w:left w:w="108" w:type="dxa"/>
            <w:right w:w="108" w:type="dxa"/>
          </w:tblCellMar>
          <w:tblLook w:val="04A0"/>
        </w:tblPrEx>
        <w:trPr>
          <w:gridBefore w:val="1"/>
          <w:wBefore w:w="1456" w:type="dxa"/>
          <w:trHeight w:val="325"/>
        </w:trPr>
        <w:tc>
          <w:tcPr>
            <w:tcW w:w="1330"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E56AAD" w:rsidRPr="00D049A9" w:rsidTr="007F3A65">
        <w:trPr>
          <w:trHeight w:val="284"/>
        </w:trPr>
        <w:tc>
          <w:tcPr>
            <w:tcW w:w="1456" w:type="dxa"/>
            <w:vMerge w:val="restart"/>
            <w:tcBorders>
              <w:top w:val="nil"/>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restart"/>
            <w:vAlign w:val="center"/>
          </w:tcPr>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w:t>
            </w: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65,30%</w:t>
            </w:r>
          </w:p>
        </w:tc>
        <w:tc>
          <w:tcPr>
            <w:tcW w:w="4649" w:type="dxa"/>
            <w:vAlign w:val="center"/>
          </w:tcPr>
          <w:p w:rsidR="00E56AAD" w:rsidRPr="00D049A9" w:rsidRDefault="00E56AAD"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p>
        </w:tc>
      </w:tr>
      <w:tr w:rsidR="00E56AAD" w:rsidRPr="00D049A9" w:rsidTr="007F3A65">
        <w:trPr>
          <w:trHeight w:val="284"/>
        </w:trPr>
        <w:tc>
          <w:tcPr>
            <w:tcW w:w="1456" w:type="dxa"/>
            <w:vMerge/>
            <w:tcBorders>
              <w:left w:val="nil"/>
              <w:bottom w:val="nil"/>
            </w:tcBorders>
            <w:shd w:val="clear" w:color="auto" w:fill="auto"/>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330" w:type="dxa"/>
            <w:vMerge/>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1292" w:type="dxa"/>
            <w:vAlign w:val="center"/>
          </w:tcPr>
          <w:p w:rsidR="00E56AAD" w:rsidRPr="00D049A9" w:rsidRDefault="00E56AAD" w:rsidP="007F3A65">
            <w:pPr>
              <w:jc w:val="center"/>
              <w:rPr>
                <w:rFonts w:ascii="Bookman Old Style" w:hAnsi="Bookman Old Style" w:cs="Times New Roman"/>
                <w:color w:val="000000" w:themeColor="text1"/>
                <w:sz w:val="20"/>
                <w:szCs w:val="20"/>
              </w:rPr>
            </w:pPr>
          </w:p>
        </w:tc>
        <w:tc>
          <w:tcPr>
            <w:tcW w:w="1699" w:type="dxa"/>
            <w:vAlign w:val="center"/>
          </w:tcPr>
          <w:p w:rsidR="00E56AAD" w:rsidRPr="00D049A9" w:rsidRDefault="00E56AAD" w:rsidP="007F3A65">
            <w:pPr>
              <w:jc w:val="center"/>
              <w:rPr>
                <w:rFonts w:ascii="Bookman Old Style" w:hAnsi="Bookman Old Style" w:cs="Times New Roman"/>
                <w:b/>
                <w:color w:val="000000" w:themeColor="text1"/>
                <w:sz w:val="20"/>
                <w:szCs w:val="20"/>
              </w:rPr>
            </w:pPr>
          </w:p>
        </w:tc>
        <w:tc>
          <w:tcPr>
            <w:tcW w:w="4649" w:type="dxa"/>
            <w:vAlign w:val="center"/>
          </w:tcPr>
          <w:p w:rsidR="00E56AAD" w:rsidRPr="00D049A9" w:rsidRDefault="00E56AAD" w:rsidP="00E56AAD">
            <w:pPr>
              <w:jc w:val="both"/>
              <w:rPr>
                <w:rFonts w:ascii="Bookman Old Style" w:hAnsi="Bookman Old Style" w:cs="Times New Roman"/>
                <w:color w:val="000000" w:themeColor="text1"/>
                <w:sz w:val="20"/>
                <w:szCs w:val="20"/>
              </w:rPr>
            </w:pPr>
            <w:r>
              <w:t>**acesso em maio de 2017.</w:t>
            </w:r>
          </w:p>
        </w:tc>
      </w:tr>
    </w:tbl>
    <w:p w:rsidR="00704102" w:rsidRPr="00B3094D" w:rsidRDefault="00704102" w:rsidP="002E00DD">
      <w:pPr>
        <w:jc w:val="both"/>
        <w:rPr>
          <w:rFonts w:ascii="Bookman Old Style" w:hAnsi="Bookman Old Style" w:cs="Times New Roman"/>
          <w:color w:val="000000" w:themeColor="text1"/>
          <w:sz w:val="24"/>
          <w:szCs w:val="24"/>
        </w:rPr>
      </w:pPr>
    </w:p>
    <w:p w:rsidR="00485849" w:rsidRPr="00485849" w:rsidRDefault="00485849" w:rsidP="00485849">
      <w:pPr>
        <w:jc w:val="both"/>
        <w:rPr>
          <w:rFonts w:ascii="Bookman Old Style" w:hAnsi="Bookman Old Style" w:cs="Times New Roman"/>
          <w:b/>
          <w:color w:val="000000" w:themeColor="text1"/>
          <w:sz w:val="24"/>
          <w:szCs w:val="24"/>
        </w:rPr>
      </w:pPr>
      <w:r w:rsidRPr="00485849">
        <w:rPr>
          <w:rFonts w:ascii="Bookman Old Style" w:hAnsi="Bookman Old Style" w:cs="Times New Roman"/>
          <w:b/>
          <w:color w:val="000000" w:themeColor="text1"/>
          <w:sz w:val="24"/>
          <w:szCs w:val="24"/>
        </w:rPr>
        <w:lastRenderedPageBreak/>
        <w:t>Contextualização da Meta:</w:t>
      </w:r>
    </w:p>
    <w:p w:rsidR="00485849" w:rsidRPr="00485849" w:rsidRDefault="00485849" w:rsidP="00485849">
      <w:pPr>
        <w:ind w:firstLine="567"/>
        <w:jc w:val="both"/>
        <w:rPr>
          <w:rFonts w:ascii="Bookman Old Style" w:hAnsi="Bookman Old Style" w:cs="Times New Roman"/>
          <w:color w:val="000000" w:themeColor="text1"/>
          <w:sz w:val="24"/>
          <w:szCs w:val="24"/>
        </w:rPr>
      </w:pPr>
      <w:r w:rsidRPr="00485849">
        <w:rPr>
          <w:rFonts w:ascii="Bookman Old Style" w:hAnsi="Bookman Old Style" w:cs="Times New Roman"/>
          <w:color w:val="000000" w:themeColor="text1"/>
          <w:sz w:val="24"/>
          <w:szCs w:val="24"/>
        </w:rPr>
        <w:t xml:space="preserve">A meta de número 08 do Plano Municipal de Educação, que objeta elevar a escolaridade média da população na faixa etária de 18 a 29 anos. Enseja-se com esta meta alcançar no mínimo 12 anos de estudo no último ano, às populações do campo e 25% dos mais </w:t>
      </w:r>
      <w:proofErr w:type="gramStart"/>
      <w:r w:rsidRPr="00485849">
        <w:rPr>
          <w:rFonts w:ascii="Bookman Old Style" w:hAnsi="Bookman Old Style" w:cs="Times New Roman"/>
          <w:color w:val="000000" w:themeColor="text1"/>
          <w:sz w:val="24"/>
          <w:szCs w:val="24"/>
        </w:rPr>
        <w:t>pobres, e igual escolaridade</w:t>
      </w:r>
      <w:proofErr w:type="gramEnd"/>
      <w:r w:rsidRPr="00485849">
        <w:rPr>
          <w:rFonts w:ascii="Bookman Old Style" w:hAnsi="Bookman Old Style" w:cs="Times New Roman"/>
          <w:color w:val="000000" w:themeColor="text1"/>
          <w:sz w:val="24"/>
          <w:szCs w:val="24"/>
        </w:rPr>
        <w:t xml:space="preserve"> média entre negros e não negros declarados conforme dados do IBGE. A elevação da escolaridade média da população contribuirá para </w:t>
      </w:r>
      <w:proofErr w:type="spellStart"/>
      <w:r w:rsidRPr="00485849">
        <w:rPr>
          <w:rFonts w:ascii="Bookman Old Style" w:hAnsi="Bookman Old Style" w:cs="Times New Roman"/>
          <w:color w:val="000000" w:themeColor="text1"/>
          <w:sz w:val="24"/>
          <w:szCs w:val="24"/>
        </w:rPr>
        <w:t>oportuzinar</w:t>
      </w:r>
      <w:proofErr w:type="spellEnd"/>
      <w:r w:rsidRPr="00485849">
        <w:rPr>
          <w:rFonts w:ascii="Bookman Old Style" w:hAnsi="Bookman Old Style" w:cs="Times New Roman"/>
          <w:color w:val="000000" w:themeColor="text1"/>
          <w:sz w:val="24"/>
          <w:szCs w:val="24"/>
        </w:rPr>
        <w:t xml:space="preserve"> uma maior socialização do conhecimento e preparar melhor a população para o mercado de trabalho. Esta meta visa também promover a inclusão social das populações, neste caso prioritariamente da faixa etária dos 18 a 29 anos, dando a oportunidade para os menos favorecidos de terem acesso à educação básica.</w:t>
      </w:r>
    </w:p>
    <w:p w:rsidR="00485849" w:rsidRPr="00485849" w:rsidRDefault="00485849" w:rsidP="00485849">
      <w:pPr>
        <w:ind w:firstLine="567"/>
        <w:jc w:val="both"/>
        <w:rPr>
          <w:rFonts w:ascii="Bookman Old Style" w:hAnsi="Bookman Old Style" w:cs="Times New Roman"/>
          <w:color w:val="000000" w:themeColor="text1"/>
          <w:sz w:val="24"/>
          <w:szCs w:val="24"/>
        </w:rPr>
      </w:pPr>
      <w:r w:rsidRPr="00485849">
        <w:rPr>
          <w:rFonts w:ascii="Bookman Old Style" w:hAnsi="Bookman Old Style" w:cs="Times New Roman"/>
          <w:color w:val="000000" w:themeColor="text1"/>
          <w:sz w:val="24"/>
          <w:szCs w:val="24"/>
        </w:rPr>
        <w:t>As estratégias propostas para esta meta objetam apoiar os programas de educação de jovens e adultos dos segmentos populacionais fora da escola e com defasagem idade-série. Promover e estimular o acesso a escola ao segmento populacional da faixa etária dos 18 a 29 anos e implantar em regime de colaboração o EJA (educação de Jovens e Adultos), voltado ao mercado de trabalho e estabelecendo a inter-relação entre a teoria e a prática. A elevação dos índices de escolaridades no segmento populacional considerado nesta meta objeta além de disseminar e socializar o conhecimento, também preparar o indivíduo para o exercício pleno da cidadania.</w:t>
      </w:r>
    </w:p>
    <w:p w:rsidR="00485849" w:rsidRPr="00485849" w:rsidRDefault="00485849" w:rsidP="00485849">
      <w:pPr>
        <w:jc w:val="both"/>
        <w:rPr>
          <w:rFonts w:ascii="Bookman Old Style" w:hAnsi="Bookman Old Style" w:cs="Times New Roman"/>
          <w:color w:val="000000" w:themeColor="text1"/>
          <w:sz w:val="24"/>
          <w:szCs w:val="24"/>
        </w:rPr>
      </w:pPr>
    </w:p>
    <w:p w:rsidR="00485849" w:rsidRPr="00485849" w:rsidRDefault="00485849" w:rsidP="00485849">
      <w:pPr>
        <w:jc w:val="both"/>
        <w:rPr>
          <w:rFonts w:ascii="Bookman Old Style" w:hAnsi="Bookman Old Style" w:cs="Times New Roman"/>
          <w:b/>
          <w:color w:val="000000" w:themeColor="text1"/>
          <w:sz w:val="24"/>
          <w:szCs w:val="24"/>
        </w:rPr>
      </w:pPr>
      <w:r w:rsidRPr="00485849">
        <w:rPr>
          <w:rFonts w:ascii="Bookman Old Style" w:hAnsi="Bookman Old Style" w:cs="Times New Roman"/>
          <w:b/>
          <w:color w:val="000000" w:themeColor="text1"/>
          <w:sz w:val="24"/>
          <w:szCs w:val="24"/>
        </w:rPr>
        <w:t>Sistematização e Análise dos Dados:</w:t>
      </w:r>
    </w:p>
    <w:p w:rsidR="00485849" w:rsidRPr="00485849" w:rsidRDefault="00485849" w:rsidP="00485849">
      <w:pPr>
        <w:jc w:val="both"/>
        <w:rPr>
          <w:rFonts w:ascii="Bookman Old Style" w:hAnsi="Bookman Old Style" w:cs="Times New Roman"/>
          <w:color w:val="000000" w:themeColor="text1"/>
          <w:sz w:val="24"/>
          <w:szCs w:val="24"/>
        </w:rPr>
      </w:pPr>
    </w:p>
    <w:p w:rsidR="00485849" w:rsidRPr="00485849" w:rsidRDefault="00485849" w:rsidP="00485849">
      <w:pPr>
        <w:ind w:firstLine="567"/>
        <w:jc w:val="both"/>
        <w:rPr>
          <w:rFonts w:ascii="Bookman Old Style" w:hAnsi="Bookman Old Style" w:cs="Times New Roman"/>
          <w:color w:val="000000" w:themeColor="text1"/>
          <w:sz w:val="24"/>
          <w:szCs w:val="24"/>
        </w:rPr>
      </w:pPr>
      <w:r w:rsidRPr="00485849">
        <w:rPr>
          <w:rFonts w:ascii="Bookman Old Style" w:hAnsi="Bookman Old Style" w:cs="Times New Roman"/>
          <w:color w:val="000000" w:themeColor="text1"/>
          <w:sz w:val="24"/>
          <w:szCs w:val="24"/>
        </w:rPr>
        <w:t xml:space="preserve">Os dados pertinentes a meta 08 do Plano foram extraídos do PNE em Movimento (IBGE/Pesquisa Nacional por Amostra de Domicílios). O indicador </w:t>
      </w:r>
      <w:proofErr w:type="gramStart"/>
      <w:r w:rsidRPr="00485849">
        <w:rPr>
          <w:rFonts w:ascii="Bookman Old Style" w:hAnsi="Bookman Old Style" w:cs="Times New Roman"/>
          <w:color w:val="000000" w:themeColor="text1"/>
          <w:sz w:val="24"/>
          <w:szCs w:val="24"/>
        </w:rPr>
        <w:t>8</w:t>
      </w:r>
      <w:proofErr w:type="gramEnd"/>
      <w:r w:rsidRPr="00485849">
        <w:rPr>
          <w:rFonts w:ascii="Bookman Old Style" w:hAnsi="Bookman Old Style" w:cs="Times New Roman"/>
          <w:color w:val="000000" w:themeColor="text1"/>
          <w:sz w:val="24"/>
          <w:szCs w:val="24"/>
        </w:rPr>
        <w:t xml:space="preserve"> A, o percentual da População de 18 e 29 anos com menos de 12 anos de escolaridade; o indicador 8 B percentual da População de 18 e 29 anos residente no campo com menos de 12 anos de escolaridade; o indicador 8 C percentual da População de 18 e 29 anos entre os 25% mais pobres com menos de 12 anos de escolaridade e o indicador 8 D percentual </w:t>
      </w:r>
      <w:r w:rsidRPr="00485849">
        <w:rPr>
          <w:rFonts w:ascii="Bookman Old Style" w:hAnsi="Bookman Old Style" w:cs="Times New Roman"/>
          <w:color w:val="000000" w:themeColor="text1"/>
          <w:sz w:val="24"/>
          <w:szCs w:val="24"/>
        </w:rPr>
        <w:lastRenderedPageBreak/>
        <w:t>da População negra entre 18 e 29 anos com menos de 12 anos de escolaridade. Conforme a sistematização dos dados que segue nos gráficos.</w:t>
      </w:r>
    </w:p>
    <w:p w:rsidR="00485849" w:rsidRPr="00485849" w:rsidRDefault="00485849" w:rsidP="00485849">
      <w:pPr>
        <w:jc w:val="center"/>
        <w:rPr>
          <w:rFonts w:ascii="Bookman Old Style" w:hAnsi="Bookman Old Style" w:cs="Times New Roman"/>
          <w:color w:val="000000" w:themeColor="text1"/>
          <w:sz w:val="24"/>
          <w:szCs w:val="24"/>
        </w:rPr>
      </w:pPr>
      <w:r w:rsidRPr="00485849">
        <w:rPr>
          <w:rFonts w:ascii="Bookman Old Style" w:hAnsi="Bookman Old Style" w:cs="Times New Roman"/>
          <w:noProof/>
          <w:color w:val="000000" w:themeColor="text1"/>
          <w:sz w:val="24"/>
          <w:szCs w:val="24"/>
          <w:lang w:eastAsia="pt-BR"/>
        </w:rPr>
        <w:drawing>
          <wp:inline distT="0" distB="0" distL="0" distR="0">
            <wp:extent cx="4295775" cy="2076450"/>
            <wp:effectExtent l="19050" t="0" r="9525"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5849" w:rsidRDefault="00485849" w:rsidP="00485849">
      <w:pPr>
        <w:ind w:firstLine="567"/>
        <w:jc w:val="center"/>
        <w:rPr>
          <w:rFonts w:ascii="Bookman Old Style" w:hAnsi="Bookman Old Style" w:cs="Times New Roman"/>
          <w:color w:val="000000" w:themeColor="text1"/>
          <w:sz w:val="24"/>
          <w:szCs w:val="24"/>
        </w:rPr>
      </w:pPr>
      <w:r w:rsidRPr="00485849">
        <w:rPr>
          <w:rFonts w:ascii="Bookman Old Style" w:hAnsi="Bookman Old Style" w:cs="Times New Roman"/>
          <w:noProof/>
          <w:color w:val="000000" w:themeColor="text1"/>
          <w:sz w:val="24"/>
          <w:szCs w:val="24"/>
          <w:lang w:eastAsia="pt-BR"/>
        </w:rPr>
        <w:drawing>
          <wp:inline distT="0" distB="0" distL="0" distR="0">
            <wp:extent cx="4400550" cy="2190750"/>
            <wp:effectExtent l="19050" t="0" r="19050" b="0"/>
            <wp:docPr id="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5849" w:rsidRPr="00485849" w:rsidRDefault="00485849" w:rsidP="00485849">
      <w:pPr>
        <w:ind w:firstLine="567"/>
        <w:jc w:val="center"/>
        <w:rPr>
          <w:rFonts w:ascii="Bookman Old Style" w:hAnsi="Bookman Old Style" w:cs="Times New Roman"/>
          <w:color w:val="000000" w:themeColor="text1"/>
          <w:sz w:val="24"/>
          <w:szCs w:val="24"/>
        </w:rPr>
      </w:pPr>
      <w:r w:rsidRPr="00485849">
        <w:rPr>
          <w:rFonts w:ascii="Bookman Old Style" w:hAnsi="Bookman Old Style" w:cs="Times New Roman"/>
          <w:noProof/>
          <w:color w:val="000000" w:themeColor="text1"/>
          <w:sz w:val="24"/>
          <w:szCs w:val="24"/>
          <w:lang w:eastAsia="pt-BR"/>
        </w:rPr>
        <w:drawing>
          <wp:inline distT="0" distB="0" distL="0" distR="0">
            <wp:extent cx="4248150" cy="2181225"/>
            <wp:effectExtent l="19050" t="0" r="19050" b="0"/>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5849" w:rsidRPr="00485849" w:rsidRDefault="00485849" w:rsidP="007F3A65">
      <w:pPr>
        <w:ind w:firstLine="567"/>
        <w:jc w:val="center"/>
        <w:rPr>
          <w:rFonts w:ascii="Bookman Old Style" w:hAnsi="Bookman Old Style" w:cs="Times New Roman"/>
          <w:color w:val="000000" w:themeColor="text1"/>
          <w:sz w:val="24"/>
          <w:szCs w:val="24"/>
        </w:rPr>
      </w:pPr>
      <w:r w:rsidRPr="00485849">
        <w:rPr>
          <w:rFonts w:ascii="Bookman Old Style" w:hAnsi="Bookman Old Style" w:cs="Times New Roman"/>
          <w:noProof/>
          <w:color w:val="000000" w:themeColor="text1"/>
          <w:sz w:val="24"/>
          <w:szCs w:val="24"/>
          <w:lang w:eastAsia="pt-BR"/>
        </w:rPr>
        <w:lastRenderedPageBreak/>
        <w:drawing>
          <wp:inline distT="0" distB="0" distL="0" distR="0">
            <wp:extent cx="4419600" cy="1962150"/>
            <wp:effectExtent l="19050" t="0" r="19050" b="0"/>
            <wp:docPr id="1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5849" w:rsidRPr="00485849" w:rsidRDefault="00485849" w:rsidP="00485849">
      <w:pPr>
        <w:ind w:firstLine="567"/>
        <w:jc w:val="both"/>
        <w:rPr>
          <w:rFonts w:ascii="Bookman Old Style" w:hAnsi="Bookman Old Style" w:cs="Times New Roman"/>
          <w:color w:val="000000" w:themeColor="text1"/>
          <w:sz w:val="24"/>
          <w:szCs w:val="24"/>
        </w:rPr>
      </w:pPr>
      <w:r w:rsidRPr="00485849">
        <w:rPr>
          <w:rFonts w:ascii="Bookman Old Style" w:hAnsi="Bookman Old Style" w:cs="Times New Roman"/>
          <w:color w:val="000000" w:themeColor="text1"/>
          <w:sz w:val="24"/>
          <w:szCs w:val="24"/>
        </w:rPr>
        <w:t xml:space="preserve">Os resultados obtidos nos indicadores detalhados nos gráficos tiveram por base o PNE em Movimento. No indicador </w:t>
      </w:r>
      <w:proofErr w:type="gramStart"/>
      <w:r w:rsidRPr="00485849">
        <w:rPr>
          <w:rFonts w:ascii="Bookman Old Style" w:hAnsi="Bookman Old Style" w:cs="Times New Roman"/>
          <w:color w:val="000000" w:themeColor="text1"/>
          <w:sz w:val="24"/>
          <w:szCs w:val="24"/>
        </w:rPr>
        <w:t>8</w:t>
      </w:r>
      <w:proofErr w:type="gramEnd"/>
      <w:r w:rsidRPr="00485849">
        <w:rPr>
          <w:rFonts w:ascii="Bookman Old Style" w:hAnsi="Bookman Old Style" w:cs="Times New Roman"/>
          <w:color w:val="000000" w:themeColor="text1"/>
          <w:sz w:val="24"/>
          <w:szCs w:val="24"/>
        </w:rPr>
        <w:t xml:space="preserve"> A o percentual da população de 18 e 29 anos com menos de 12 anos de escolaridade, o resultado alcançado foi o do exercício 2013 advindo do IBGE/Pesquisa Nacional por Amostra de Domicílios, perfazendo o total de 47%, valor este inferior ao pactuado como meta de 70%. Em relação a este indicador adotamos a estratégia de gradualmente avançarmos ano após ano, até atingir em 2021 a meta proposta. O indicador </w:t>
      </w:r>
      <w:proofErr w:type="gramStart"/>
      <w:r w:rsidRPr="00485849">
        <w:rPr>
          <w:rFonts w:ascii="Bookman Old Style" w:hAnsi="Bookman Old Style" w:cs="Times New Roman"/>
          <w:color w:val="000000" w:themeColor="text1"/>
          <w:sz w:val="24"/>
          <w:szCs w:val="24"/>
        </w:rPr>
        <w:t>8</w:t>
      </w:r>
      <w:proofErr w:type="gramEnd"/>
      <w:r w:rsidRPr="00485849">
        <w:rPr>
          <w:rFonts w:ascii="Bookman Old Style" w:hAnsi="Bookman Old Style" w:cs="Times New Roman"/>
          <w:color w:val="000000" w:themeColor="text1"/>
          <w:sz w:val="24"/>
          <w:szCs w:val="24"/>
        </w:rPr>
        <w:t xml:space="preserve"> B que refere-se ao percentual da população de 18 e 29 anos residente no campo com menos de 12 anos de escolaridade, o resultado alcançado foi o do exercício 2013 advindo do IBGE/Pesquisa Nacional por Amostra de Domicílios, totalizando 56,8%, valor este superior ao pactuado de 20%. Neste indicador também adotamos o cumprimento de forma progressiva e anual, até atingir o pactuado de 20% no ano de 2021. No indicador </w:t>
      </w:r>
      <w:proofErr w:type="gramStart"/>
      <w:r w:rsidRPr="00485849">
        <w:rPr>
          <w:rFonts w:ascii="Bookman Old Style" w:hAnsi="Bookman Old Style" w:cs="Times New Roman"/>
          <w:color w:val="000000" w:themeColor="text1"/>
          <w:sz w:val="24"/>
          <w:szCs w:val="24"/>
        </w:rPr>
        <w:t>8</w:t>
      </w:r>
      <w:proofErr w:type="gramEnd"/>
      <w:r w:rsidRPr="00485849">
        <w:rPr>
          <w:rFonts w:ascii="Bookman Old Style" w:hAnsi="Bookman Old Style" w:cs="Times New Roman"/>
          <w:color w:val="000000" w:themeColor="text1"/>
          <w:sz w:val="24"/>
          <w:szCs w:val="24"/>
        </w:rPr>
        <w:t xml:space="preserve"> C Percentual da População de 18 e 29 anos entre os 25% mais pobres com menos de 12 anos de escolaridade, o resultado alcançado ficou acima da meta proposta, uma vez que foi de 81,80%, para uma meta de 50%. Para tanto traçamos estratégias intermediárias que abarcam até o ano de 2024, objetivando atingir os 50% pactuados no indicador.  O indicador </w:t>
      </w:r>
      <w:proofErr w:type="gramStart"/>
      <w:r w:rsidRPr="00485849">
        <w:rPr>
          <w:rFonts w:ascii="Bookman Old Style" w:hAnsi="Bookman Old Style" w:cs="Times New Roman"/>
          <w:color w:val="000000" w:themeColor="text1"/>
          <w:sz w:val="24"/>
          <w:szCs w:val="24"/>
        </w:rPr>
        <w:t>8</w:t>
      </w:r>
      <w:proofErr w:type="gramEnd"/>
      <w:r w:rsidRPr="00485849">
        <w:rPr>
          <w:rFonts w:ascii="Bookman Old Style" w:hAnsi="Bookman Old Style" w:cs="Times New Roman"/>
          <w:color w:val="000000" w:themeColor="text1"/>
          <w:sz w:val="24"/>
          <w:szCs w:val="24"/>
        </w:rPr>
        <w:t xml:space="preserve"> D do percentual da população negra entre 18 e 29 anos com menos de 12 anos de escolaridade, o resultado alcançado 65,30% ficou acima do pactuado 0%. Neste indicador estabelecemos metas intermediárias com decréscimo progressivo ano após ano até o final da vigência, 2024 para 0%.</w:t>
      </w:r>
    </w:p>
    <w:p w:rsidR="00704102" w:rsidRPr="00B3094D" w:rsidRDefault="00485849" w:rsidP="00485849">
      <w:pPr>
        <w:ind w:firstLine="567"/>
        <w:jc w:val="both"/>
        <w:rPr>
          <w:rFonts w:ascii="Bookman Old Style" w:hAnsi="Bookman Old Style" w:cs="Times New Roman"/>
          <w:color w:val="000000" w:themeColor="text1"/>
          <w:sz w:val="24"/>
          <w:szCs w:val="24"/>
        </w:rPr>
      </w:pPr>
      <w:r w:rsidRPr="00485849">
        <w:rPr>
          <w:rFonts w:ascii="Bookman Old Style" w:hAnsi="Bookman Old Style" w:cs="Times New Roman"/>
          <w:color w:val="000000" w:themeColor="text1"/>
          <w:sz w:val="24"/>
          <w:szCs w:val="24"/>
        </w:rPr>
        <w:t xml:space="preserve">O relatório de monitoramento apontou que com relação a esta meta temos números bem acima do pactuado, e a evolução dos indicadores em percentuais é prevista anualmente de forma progressiva. Por se tratar de </w:t>
      </w:r>
      <w:r w:rsidRPr="00485849">
        <w:rPr>
          <w:rFonts w:ascii="Bookman Old Style" w:hAnsi="Bookman Old Style" w:cs="Times New Roman"/>
          <w:color w:val="000000" w:themeColor="text1"/>
          <w:sz w:val="24"/>
          <w:szCs w:val="24"/>
        </w:rPr>
        <w:lastRenderedPageBreak/>
        <w:t>termos o percentual alcançado bem acima da meta, é preciso dar uma atenção especial e efetuar o planejamento efetivo e objetivo intuindo promover a escolarização dos segmentos populacionais previstos para a meta.</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485849" w:rsidRPr="00540B0B" w:rsidTr="007F3A65">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485849" w:rsidRPr="00540B0B" w:rsidRDefault="00485849" w:rsidP="007F3A65">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485849" w:rsidRPr="00540B0B" w:rsidRDefault="00485849"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485849" w:rsidRPr="00540B0B" w:rsidRDefault="00485849"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485849" w:rsidRPr="00540B0B" w:rsidRDefault="00485849"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485849" w:rsidRDefault="00485849" w:rsidP="007F3A65">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485849" w:rsidRPr="00540B0B" w:rsidRDefault="00485849"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485849" w:rsidRPr="00485849" w:rsidTr="00485849">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both"/>
              <w:rPr>
                <w:rFonts w:ascii="Calibri" w:eastAsia="Times New Roman" w:hAnsi="Calibri" w:cs="Calibri"/>
                <w:color w:val="000000"/>
                <w:lang w:eastAsia="pt-BR"/>
              </w:rPr>
            </w:pPr>
            <w:r w:rsidRPr="00485849">
              <w:rPr>
                <w:rFonts w:ascii="Calibri" w:eastAsia="Times New Roman" w:hAnsi="Calibri" w:cs="Calibri"/>
                <w:color w:val="000000"/>
                <w:lang w:eastAsia="pt-BR"/>
              </w:rPr>
              <w:t>8.1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 xml:space="preserve"> Apoiar programas de educação de jovens e adultos para os segmentos populacionais considerados, que estejam fora da escola e com defasagem idade-série.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485849" w:rsidRPr="00485849" w:rsidTr="00485849">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both"/>
              <w:rPr>
                <w:rFonts w:ascii="Calibri" w:eastAsia="Times New Roman" w:hAnsi="Calibri" w:cs="Calibri"/>
                <w:color w:val="000000"/>
                <w:lang w:eastAsia="pt-BR"/>
              </w:rPr>
            </w:pPr>
            <w:r w:rsidRPr="00485849">
              <w:rPr>
                <w:rFonts w:ascii="Calibri" w:eastAsia="Times New Roman" w:hAnsi="Calibri" w:cs="Calibri"/>
                <w:color w:val="000000"/>
                <w:lang w:eastAsia="pt-BR"/>
              </w:rPr>
              <w:t>8.2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 xml:space="preserve">Estimular o acesso à escola para os segmentos populacionais considerados, identificando motivos de ausência e baixa </w:t>
            </w:r>
            <w:proofErr w:type="spellStart"/>
            <w:proofErr w:type="gramStart"/>
            <w:r w:rsidRPr="00485849">
              <w:rPr>
                <w:rFonts w:ascii="Calibri" w:eastAsia="Times New Roman" w:hAnsi="Calibri" w:cs="Calibri"/>
                <w:color w:val="000000"/>
                <w:lang w:eastAsia="pt-BR"/>
              </w:rPr>
              <w:t>frequência</w:t>
            </w:r>
            <w:proofErr w:type="spellEnd"/>
            <w:r w:rsidRPr="00485849">
              <w:rPr>
                <w:rFonts w:ascii="Calibri" w:eastAsia="Times New Roman" w:hAnsi="Calibri" w:cs="Calibri"/>
                <w:color w:val="000000"/>
                <w:lang w:eastAsia="pt-BR"/>
              </w:rPr>
              <w:t xml:space="preserve"> ,</w:t>
            </w:r>
            <w:proofErr w:type="gramEnd"/>
            <w:r w:rsidRPr="00485849">
              <w:rPr>
                <w:rFonts w:ascii="Calibri" w:eastAsia="Times New Roman" w:hAnsi="Calibri" w:cs="Calibri"/>
                <w:color w:val="000000"/>
                <w:lang w:eastAsia="pt-BR"/>
              </w:rPr>
              <w:t xml:space="preserve"> planejando as intervenções necessárias.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485849" w:rsidRPr="00485849" w:rsidTr="00485849">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both"/>
              <w:rPr>
                <w:rFonts w:ascii="Calibri" w:eastAsia="Times New Roman" w:hAnsi="Calibri" w:cs="Calibri"/>
                <w:color w:val="000000"/>
                <w:lang w:eastAsia="pt-BR"/>
              </w:rPr>
            </w:pPr>
            <w:r w:rsidRPr="00485849">
              <w:rPr>
                <w:rFonts w:ascii="Calibri" w:eastAsia="Times New Roman" w:hAnsi="Calibri" w:cs="Calibri"/>
                <w:color w:val="000000"/>
                <w:lang w:eastAsia="pt-BR"/>
              </w:rPr>
              <w:t>8.3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 xml:space="preserve"> Implantar em regime de colaboração com as instituições públicas, a integração da EJA, nos segmentos populacionais considerados, com o mundo do trabalho, estabelecendo inter-relação entre teoria e prática, nos eixos da ciência, </w:t>
            </w:r>
            <w:proofErr w:type="spellStart"/>
            <w:r w:rsidRPr="00485849">
              <w:rPr>
                <w:rFonts w:ascii="Calibri" w:eastAsia="Times New Roman" w:hAnsi="Calibri" w:cs="Calibri"/>
                <w:color w:val="000000"/>
                <w:lang w:eastAsia="pt-BR"/>
              </w:rPr>
              <w:t>dotrabalho</w:t>
            </w:r>
            <w:proofErr w:type="spellEnd"/>
            <w:r w:rsidRPr="00485849">
              <w:rPr>
                <w:rFonts w:ascii="Calibri" w:eastAsia="Times New Roman" w:hAnsi="Calibri" w:cs="Calibri"/>
                <w:color w:val="000000"/>
                <w:lang w:eastAsia="pt-BR"/>
              </w:rPr>
              <w:t>, da tecnologia, da cultura e cidadania.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rPr>
                <w:rFonts w:ascii="Calibri" w:eastAsia="Times New Roman" w:hAnsi="Calibri" w:cs="Calibri"/>
                <w:color w:val="000000"/>
                <w:lang w:eastAsia="pt-BR"/>
              </w:rPr>
            </w:pPr>
            <w:r w:rsidRPr="00485849">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485849" w:rsidRPr="00485849" w:rsidRDefault="00485849" w:rsidP="0048584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704102" w:rsidRPr="00B3094D" w:rsidRDefault="00704102" w:rsidP="002E00DD">
      <w:pPr>
        <w:jc w:val="both"/>
        <w:rPr>
          <w:rFonts w:ascii="Bookman Old Style" w:hAnsi="Bookman Old Style" w:cs="Times New Roman"/>
          <w:color w:val="000000" w:themeColor="text1"/>
          <w:sz w:val="24"/>
          <w:szCs w:val="24"/>
        </w:rPr>
      </w:pPr>
    </w:p>
    <w:p w:rsidR="00485849" w:rsidRPr="00485849" w:rsidRDefault="00485849" w:rsidP="00485849">
      <w:pPr>
        <w:jc w:val="both"/>
        <w:rPr>
          <w:rFonts w:ascii="Bookman Old Style" w:hAnsi="Bookman Old Style" w:cs="Times New Roman"/>
          <w:b/>
          <w:color w:val="000000" w:themeColor="text1"/>
          <w:sz w:val="24"/>
          <w:szCs w:val="24"/>
        </w:rPr>
      </w:pPr>
      <w:r w:rsidRPr="00485849">
        <w:rPr>
          <w:rFonts w:ascii="Bookman Old Style" w:hAnsi="Bookman Old Style" w:cs="Times New Roman"/>
          <w:b/>
          <w:color w:val="000000" w:themeColor="text1"/>
          <w:sz w:val="24"/>
          <w:szCs w:val="24"/>
        </w:rPr>
        <w:t>Conclusão a respeito da Meta:</w:t>
      </w:r>
    </w:p>
    <w:p w:rsidR="00485849" w:rsidRPr="00485849" w:rsidRDefault="00485849" w:rsidP="00485849">
      <w:pPr>
        <w:ind w:firstLine="567"/>
        <w:jc w:val="both"/>
        <w:rPr>
          <w:rFonts w:ascii="Bookman Old Style" w:hAnsi="Bookman Old Style" w:cs="Times New Roman"/>
          <w:color w:val="000000" w:themeColor="text1"/>
          <w:sz w:val="24"/>
          <w:szCs w:val="24"/>
        </w:rPr>
      </w:pPr>
      <w:r w:rsidRPr="00485849">
        <w:rPr>
          <w:rFonts w:ascii="Bookman Old Style" w:hAnsi="Bookman Old Style" w:cs="Times New Roman"/>
          <w:color w:val="000000" w:themeColor="text1"/>
          <w:sz w:val="24"/>
          <w:szCs w:val="24"/>
        </w:rPr>
        <w:t xml:space="preserve">Elevar a taxa de escolarização no segmento populacional de 18 a 29 anos para o mínimo de 12 anos das populações do campo, igualar a escolaridade entre negros e não negros, tomando por base os dados do IBGE, personificam-se como um grande desafio. Pois o resultado alcançado no Município ficou consideravelmente acima do pactuado e há indubitavelmente a necessidade de fomentar/desenvolver programas de escolarização para este segmento específico. Promover a inclusão social por meio da escolarização é a mais relevante temática, pois além de promover a igualdade racial por meio da educação, também enseja preparar melhor o indivíduo para o mercado de trabalho e para o exercício qualificado da </w:t>
      </w:r>
      <w:r w:rsidRPr="00485849">
        <w:rPr>
          <w:rFonts w:ascii="Bookman Old Style" w:hAnsi="Bookman Old Style" w:cs="Times New Roman"/>
          <w:color w:val="000000" w:themeColor="text1"/>
          <w:sz w:val="24"/>
          <w:szCs w:val="24"/>
        </w:rPr>
        <w:lastRenderedPageBreak/>
        <w:t xml:space="preserve">cidadania. A escolarização em níveis mais elevados neste segmento previsto na meta </w:t>
      </w:r>
      <w:proofErr w:type="gramStart"/>
      <w:r w:rsidRPr="00485849">
        <w:rPr>
          <w:rFonts w:ascii="Bookman Old Style" w:hAnsi="Bookman Old Style" w:cs="Times New Roman"/>
          <w:color w:val="000000" w:themeColor="text1"/>
          <w:sz w:val="24"/>
          <w:szCs w:val="24"/>
        </w:rPr>
        <w:t>8</w:t>
      </w:r>
      <w:proofErr w:type="gramEnd"/>
      <w:r w:rsidRPr="00485849">
        <w:rPr>
          <w:rFonts w:ascii="Bookman Old Style" w:hAnsi="Bookman Old Style" w:cs="Times New Roman"/>
          <w:color w:val="000000" w:themeColor="text1"/>
          <w:sz w:val="24"/>
          <w:szCs w:val="24"/>
        </w:rPr>
        <w:t>, irá contribuir para a formação psicossocial da pessoa e equalizará as condições tangentes ao conhecimento.</w:t>
      </w:r>
    </w:p>
    <w:p w:rsidR="00A347B6" w:rsidRDefault="00A347B6" w:rsidP="00A347B6">
      <w:pPr>
        <w:pStyle w:val="PargrafodaLista"/>
        <w:numPr>
          <w:ilvl w:val="0"/>
          <w:numId w:val="22"/>
        </w:numPr>
        <w:jc w:val="both"/>
        <w:rPr>
          <w:rFonts w:ascii="Bookman Old Style" w:hAnsi="Bookman Old Style" w:cs="Times New Roman"/>
          <w:b/>
          <w:color w:val="000000" w:themeColor="text1"/>
          <w:sz w:val="24"/>
          <w:szCs w:val="24"/>
        </w:rPr>
      </w:pPr>
      <w:r w:rsidRPr="00047456">
        <w:rPr>
          <w:rFonts w:ascii="Bookman Old Style" w:hAnsi="Bookman Old Style" w:cs="Times New Roman"/>
          <w:b/>
          <w:color w:val="000000" w:themeColor="text1"/>
          <w:sz w:val="24"/>
          <w:szCs w:val="24"/>
        </w:rPr>
        <w:t>Sugestão de Nova Redação da Meta:</w:t>
      </w:r>
    </w:p>
    <w:p w:rsidR="00A347B6" w:rsidRPr="00B405E3" w:rsidRDefault="00A347B6" w:rsidP="00A347B6">
      <w:pPr>
        <w:ind w:firstLine="567"/>
        <w:jc w:val="both"/>
        <w:rPr>
          <w:rFonts w:ascii="Bookman Old Style" w:hAnsi="Bookman Old Style" w:cs="Times New Roman"/>
          <w:i/>
          <w:color w:val="000000" w:themeColor="text1"/>
          <w:sz w:val="24"/>
          <w:szCs w:val="24"/>
        </w:rPr>
      </w:pPr>
      <w:r>
        <w:rPr>
          <w:rFonts w:ascii="Bookman Old Style" w:hAnsi="Bookman Old Style" w:cs="Times New Roman"/>
          <w:color w:val="000000" w:themeColor="text1"/>
          <w:sz w:val="24"/>
          <w:szCs w:val="24"/>
        </w:rPr>
        <w:t>Com relação à Meta nº. 08, após análise, e considerando que a sua redação não está em concordância com o PNE, propõe-se a seguinte adequação a ser realizada na íntegra</w:t>
      </w:r>
      <w:r w:rsidRPr="00B405E3">
        <w:rPr>
          <w:rFonts w:ascii="Bookman Old Style" w:hAnsi="Bookman Old Style" w:cs="Times New Roman"/>
          <w:color w:val="000000" w:themeColor="text1"/>
          <w:sz w:val="24"/>
          <w:szCs w:val="24"/>
        </w:rPr>
        <w:t>:</w:t>
      </w:r>
    </w:p>
    <w:p w:rsidR="00704102" w:rsidRDefault="00A347B6" w:rsidP="002E00DD">
      <w:pPr>
        <w:jc w:val="both"/>
        <w:rPr>
          <w:rFonts w:ascii="Bookman Old Style" w:hAnsi="Bookman Old Style" w:cs="Times New Roman"/>
          <w:i/>
          <w:color w:val="000000" w:themeColor="text1"/>
          <w:sz w:val="24"/>
          <w:szCs w:val="24"/>
        </w:rPr>
      </w:pPr>
      <w:r w:rsidRPr="00666FDE">
        <w:rPr>
          <w:rFonts w:ascii="Bookman Old Style" w:hAnsi="Bookman Old Style" w:cs="Times New Roman"/>
          <w:i/>
          <w:color w:val="000000" w:themeColor="text1"/>
          <w:sz w:val="24"/>
          <w:szCs w:val="24"/>
        </w:rPr>
        <w:t xml:space="preserve">“Elevar a escolaridade média da população de 18 (dezoito) a 29 (vinte e nove) anos, de modo a alcançar, no mínimo, 12 (doze) anos de estudo </w:t>
      </w:r>
      <w:r w:rsidRPr="00666FDE">
        <w:rPr>
          <w:rFonts w:ascii="Bookman Old Style" w:hAnsi="Bookman Old Style" w:cs="Times New Roman"/>
          <w:i/>
          <w:color w:val="000000" w:themeColor="text1"/>
          <w:sz w:val="24"/>
          <w:szCs w:val="24"/>
          <w:highlight w:val="lightGray"/>
        </w:rPr>
        <w:t>no</w:t>
      </w:r>
      <w:r w:rsidRPr="00666FDE">
        <w:rPr>
          <w:rFonts w:ascii="Bookman Old Style" w:hAnsi="Bookman Old Style" w:cs="Times New Roman"/>
          <w:i/>
          <w:color w:val="000000" w:themeColor="text1"/>
          <w:sz w:val="24"/>
          <w:szCs w:val="24"/>
        </w:rPr>
        <w:t xml:space="preserve"> </w:t>
      </w:r>
      <w:r w:rsidRPr="00666FDE">
        <w:rPr>
          <w:rFonts w:ascii="Bookman Old Style" w:hAnsi="Bookman Old Style" w:cs="Times New Roman"/>
          <w:i/>
          <w:color w:val="000000" w:themeColor="text1"/>
          <w:sz w:val="24"/>
          <w:szCs w:val="24"/>
          <w:highlight w:val="lightGray"/>
        </w:rPr>
        <w:t>último ano de vigência deste Plano</w:t>
      </w:r>
      <w:r w:rsidRPr="00666FDE">
        <w:rPr>
          <w:rFonts w:ascii="Bookman Old Style" w:hAnsi="Bookman Old Style" w:cs="Times New Roman"/>
          <w:i/>
          <w:color w:val="000000" w:themeColor="text1"/>
          <w:sz w:val="24"/>
          <w:szCs w:val="24"/>
        </w:rPr>
        <w:t xml:space="preserve">, para as populações do campo, da região de menor escolaridade no País e dos 25% (vinte e cinco por cento) mais pobres, e igualar a escolaridade média entre negros e não </w:t>
      </w:r>
      <w:proofErr w:type="gramStart"/>
      <w:r w:rsidRPr="00666FDE">
        <w:rPr>
          <w:rFonts w:ascii="Bookman Old Style" w:hAnsi="Bookman Old Style" w:cs="Times New Roman"/>
          <w:i/>
          <w:color w:val="000000" w:themeColor="text1"/>
          <w:sz w:val="24"/>
          <w:szCs w:val="24"/>
        </w:rPr>
        <w:t>negros declarados à Fundação Instituto Brasileiro de Geografia</w:t>
      </w:r>
      <w:proofErr w:type="gramEnd"/>
      <w:r w:rsidRPr="00666FDE">
        <w:rPr>
          <w:rFonts w:ascii="Bookman Old Style" w:hAnsi="Bookman Old Style" w:cs="Times New Roman"/>
          <w:i/>
          <w:color w:val="000000" w:themeColor="text1"/>
          <w:sz w:val="24"/>
          <w:szCs w:val="24"/>
        </w:rPr>
        <w:t xml:space="preserve"> e Estatística - IBGE.”</w:t>
      </w:r>
    </w:p>
    <w:p w:rsidR="00666FDE" w:rsidRPr="00666FDE" w:rsidRDefault="00666FDE" w:rsidP="002E00DD">
      <w:pPr>
        <w:jc w:val="both"/>
        <w:rPr>
          <w:rFonts w:ascii="Bookman Old Style" w:hAnsi="Bookman Old Style" w:cs="Times New Roman"/>
          <w:i/>
          <w:color w:val="000000" w:themeColor="text1"/>
          <w:sz w:val="24"/>
          <w:szCs w:val="24"/>
        </w:rPr>
      </w:pPr>
    </w:p>
    <w:p w:rsidR="002D3310" w:rsidRDefault="00F01C84" w:rsidP="00704102">
      <w:pPr>
        <w:pStyle w:val="Ttulo1"/>
        <w:numPr>
          <w:ilvl w:val="0"/>
          <w:numId w:val="24"/>
        </w:numPr>
        <w:ind w:left="927"/>
        <w:rPr>
          <w:rFonts w:ascii="Bookman Old Style" w:hAnsi="Bookman Old Style" w:cs="Times New Roman"/>
          <w:color w:val="000000" w:themeColor="text1"/>
        </w:rPr>
      </w:pPr>
      <w:bookmarkStart w:id="12" w:name="_Toc497809478"/>
      <w:r w:rsidRPr="00D81FEF">
        <w:rPr>
          <w:rFonts w:ascii="Bookman Old Style" w:hAnsi="Bookman Old Style"/>
          <w:color w:val="auto"/>
        </w:rPr>
        <w:t xml:space="preserve">Meta sobre </w:t>
      </w:r>
      <w:r w:rsidR="00216EAD" w:rsidRPr="00D81FEF">
        <w:rPr>
          <w:rFonts w:ascii="Bookman Old Style" w:hAnsi="Bookman Old Style"/>
          <w:color w:val="auto"/>
        </w:rPr>
        <w:t>a A</w:t>
      </w:r>
      <w:r w:rsidRPr="00D81FEF">
        <w:rPr>
          <w:rFonts w:ascii="Bookman Old Style" w:hAnsi="Bookman Old Style"/>
          <w:color w:val="auto"/>
        </w:rPr>
        <w:t>lfabetização</w:t>
      </w:r>
      <w:r w:rsidR="00216EAD" w:rsidRPr="00D81FEF">
        <w:rPr>
          <w:rFonts w:ascii="Bookman Old Style" w:hAnsi="Bookman Old Style"/>
          <w:color w:val="auto"/>
        </w:rPr>
        <w:t xml:space="preserve"> e </w:t>
      </w:r>
      <w:proofErr w:type="spellStart"/>
      <w:r w:rsidR="00216EAD" w:rsidRPr="00D81FEF">
        <w:rPr>
          <w:rFonts w:ascii="Bookman Old Style" w:hAnsi="Bookman Old Style"/>
          <w:color w:val="auto"/>
        </w:rPr>
        <w:t>Alfabetismo</w:t>
      </w:r>
      <w:proofErr w:type="spellEnd"/>
      <w:r w:rsidR="00216EAD" w:rsidRPr="00D81FEF">
        <w:rPr>
          <w:rFonts w:ascii="Bookman Old Style" w:hAnsi="Bookman Old Style"/>
          <w:color w:val="auto"/>
        </w:rPr>
        <w:t xml:space="preserve"> Funcional de </w:t>
      </w:r>
      <w:r w:rsidR="00216EAD" w:rsidRPr="00D81FEF">
        <w:rPr>
          <w:rFonts w:ascii="Bookman Old Style" w:hAnsi="Bookman Old Style" w:cs="Times New Roman"/>
          <w:color w:val="000000" w:themeColor="text1"/>
        </w:rPr>
        <w:t>Jovens e A</w:t>
      </w:r>
      <w:r w:rsidRPr="00D81FEF">
        <w:rPr>
          <w:rFonts w:ascii="Bookman Old Style" w:hAnsi="Bookman Old Style" w:cs="Times New Roman"/>
          <w:color w:val="000000" w:themeColor="text1"/>
        </w:rPr>
        <w:t>dultos</w:t>
      </w:r>
      <w:bookmarkEnd w:id="12"/>
    </w:p>
    <w:p w:rsidR="00D81FEF" w:rsidRPr="00D81FEF" w:rsidRDefault="00D81FEF" w:rsidP="00D81FEF"/>
    <w:p w:rsidR="00A158C9" w:rsidRPr="00B3094D" w:rsidRDefault="00A158C9" w:rsidP="007F3A65">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7F3A65">
        <w:rPr>
          <w:rFonts w:ascii="Bookman Old Style" w:hAnsi="Bookman Old Style" w:cs="Times New Roman"/>
          <w:b/>
          <w:color w:val="000000" w:themeColor="text1"/>
          <w:sz w:val="24"/>
          <w:szCs w:val="24"/>
        </w:rPr>
        <w:t xml:space="preserve"> nº. 09:</w:t>
      </w:r>
      <w:proofErr w:type="gramStart"/>
      <w:r w:rsidR="007F3A65">
        <w:rPr>
          <w:rFonts w:ascii="Bookman Old Style" w:hAnsi="Bookman Old Style" w:cs="Times New Roman"/>
          <w:b/>
          <w:color w:val="000000" w:themeColor="text1"/>
          <w:sz w:val="24"/>
          <w:szCs w:val="24"/>
        </w:rPr>
        <w:t xml:space="preserve"> </w:t>
      </w:r>
      <w:r w:rsidRPr="00B3094D">
        <w:rPr>
          <w:rFonts w:ascii="Bookman Old Style" w:hAnsi="Bookman Old Style" w:cs="Times New Roman"/>
          <w:b/>
          <w:color w:val="000000" w:themeColor="text1"/>
          <w:sz w:val="24"/>
          <w:szCs w:val="24"/>
        </w:rPr>
        <w:t xml:space="preserve"> </w:t>
      </w:r>
      <w:proofErr w:type="gramEnd"/>
      <w:r w:rsidR="007F3A65" w:rsidRPr="007F3A65">
        <w:rPr>
          <w:rFonts w:ascii="Bookman Old Style" w:hAnsi="Bookman Old Style" w:cs="Times New Roman"/>
          <w:b/>
          <w:color w:val="000000" w:themeColor="text1"/>
          <w:sz w:val="24"/>
          <w:szCs w:val="24"/>
        </w:rPr>
        <w:t>Elevar a taxa de alfabetização da população com 15 anos ou mais para 93,5% até 2015 e, até o final da vigência deste PNE, erradicar o analfabetismo absoluto e reduzir em 50% a taxa de analfabetismo funcional.</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7F3A65" w:rsidRPr="00D049A9" w:rsidTr="007F3A65">
        <w:trPr>
          <w:gridBefore w:val="1"/>
          <w:wBefore w:w="1456" w:type="dxa"/>
          <w:trHeight w:val="948"/>
        </w:trPr>
        <w:tc>
          <w:tcPr>
            <w:tcW w:w="1330" w:type="dxa"/>
            <w:vAlign w:val="center"/>
          </w:tcPr>
          <w:p w:rsidR="007F3A65" w:rsidRPr="00D049A9" w:rsidRDefault="007F3A65" w:rsidP="007F3A65">
            <w:pPr>
              <w:rPr>
                <w:rFonts w:ascii="Bookman Old Style" w:hAnsi="Bookman Old Style" w:cs="Times New Roman"/>
                <w:color w:val="000000" w:themeColor="text1"/>
                <w:sz w:val="20"/>
                <w:szCs w:val="20"/>
              </w:rPr>
            </w:pPr>
          </w:p>
          <w:p w:rsidR="007F3A65"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7F3A65" w:rsidRPr="00D049A9" w:rsidRDefault="007F3A65" w:rsidP="007F3A65">
            <w:pPr>
              <w:jc w:val="center"/>
              <w:rPr>
                <w:rFonts w:ascii="Bookman Old Style" w:hAnsi="Bookman Old Style" w:cs="Times New Roman"/>
                <w:color w:val="000000" w:themeColor="text1"/>
                <w:sz w:val="20"/>
                <w:szCs w:val="20"/>
              </w:rPr>
            </w:pPr>
            <w:proofErr w:type="gramStart"/>
            <w:r>
              <w:rPr>
                <w:rFonts w:ascii="Bookman Old Style" w:hAnsi="Bookman Old Style" w:cs="Times New Roman"/>
                <w:b/>
                <w:color w:val="000000" w:themeColor="text1"/>
                <w:sz w:val="20"/>
                <w:szCs w:val="20"/>
              </w:rPr>
              <w:t>9</w:t>
            </w:r>
            <w:proofErr w:type="gramEnd"/>
            <w:r>
              <w:rPr>
                <w:rFonts w:ascii="Bookman Old Style" w:hAnsi="Bookman Old Style" w:cs="Times New Roman"/>
                <w:b/>
                <w:color w:val="000000" w:themeColor="text1"/>
                <w:sz w:val="20"/>
                <w:szCs w:val="20"/>
              </w:rPr>
              <w:t xml:space="preserve"> A</w:t>
            </w:r>
          </w:p>
          <w:p w:rsidR="007F3A65" w:rsidRPr="00D049A9" w:rsidRDefault="007F3A65" w:rsidP="007F3A65">
            <w:pPr>
              <w:jc w:val="center"/>
              <w:rPr>
                <w:rFonts w:ascii="Bookman Old Style" w:hAnsi="Bookman Old Style" w:cs="Times New Roman"/>
                <w:color w:val="000000" w:themeColor="text1"/>
                <w:sz w:val="20"/>
                <w:szCs w:val="20"/>
              </w:rPr>
            </w:pPr>
          </w:p>
        </w:tc>
        <w:tc>
          <w:tcPr>
            <w:tcW w:w="7640" w:type="dxa"/>
            <w:gridSpan w:val="3"/>
            <w:vAlign w:val="center"/>
          </w:tcPr>
          <w:p w:rsidR="007F3A65" w:rsidRPr="00D049A9" w:rsidRDefault="007F3A65" w:rsidP="007F3A65">
            <w:pPr>
              <w:jc w:val="center"/>
              <w:rPr>
                <w:rFonts w:ascii="Bookman Old Style" w:hAnsi="Bookman Old Style" w:cs="Times New Roman"/>
                <w:b/>
                <w:color w:val="000000" w:themeColor="text1"/>
                <w:sz w:val="20"/>
                <w:szCs w:val="20"/>
              </w:rPr>
            </w:pPr>
            <w:r w:rsidRPr="007F3A65">
              <w:rPr>
                <w:rFonts w:ascii="Bookman Old Style" w:hAnsi="Bookman Old Style" w:cs="Times New Roman"/>
                <w:b/>
                <w:color w:val="000000" w:themeColor="text1"/>
                <w:sz w:val="20"/>
                <w:szCs w:val="20"/>
              </w:rPr>
              <w:t>Taxa de alfabetização da população de 15 anos ou mais de idade.</w:t>
            </w:r>
          </w:p>
        </w:tc>
      </w:tr>
      <w:tr w:rsidR="007F3A65" w:rsidRPr="00D049A9" w:rsidTr="007F3A65">
        <w:tblPrEx>
          <w:tblCellMar>
            <w:left w:w="108" w:type="dxa"/>
            <w:right w:w="108" w:type="dxa"/>
          </w:tblCellMar>
          <w:tblLook w:val="04A0"/>
        </w:tblPrEx>
        <w:trPr>
          <w:gridBefore w:val="1"/>
          <w:wBefore w:w="1456" w:type="dxa"/>
          <w:trHeight w:val="325"/>
        </w:trPr>
        <w:tc>
          <w:tcPr>
            <w:tcW w:w="1330" w:type="dxa"/>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7F3A65" w:rsidRPr="00D049A9" w:rsidTr="007F3A65">
        <w:trPr>
          <w:trHeight w:val="284"/>
        </w:trPr>
        <w:tc>
          <w:tcPr>
            <w:tcW w:w="1456" w:type="dxa"/>
            <w:vMerge w:val="restart"/>
            <w:tcBorders>
              <w:top w:val="nil"/>
              <w:left w:val="nil"/>
              <w:bottom w:val="nil"/>
            </w:tcBorders>
            <w:shd w:val="clear" w:color="auto" w:fill="auto"/>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330" w:type="dxa"/>
            <w:vMerge w:val="restart"/>
            <w:vAlign w:val="center"/>
          </w:tcPr>
          <w:p w:rsidR="007F3A65" w:rsidRPr="00D049A9" w:rsidRDefault="007F3A6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93,50%</w:t>
            </w:r>
          </w:p>
        </w:tc>
        <w:tc>
          <w:tcPr>
            <w:tcW w:w="1292" w:type="dxa"/>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95,90%</w:t>
            </w:r>
          </w:p>
        </w:tc>
        <w:tc>
          <w:tcPr>
            <w:tcW w:w="4649" w:type="dxa"/>
            <w:vAlign w:val="center"/>
          </w:tcPr>
          <w:p w:rsidR="007F3A65" w:rsidRPr="00D049A9" w:rsidRDefault="007F3A65"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7F3A65" w:rsidRPr="00D049A9" w:rsidTr="007F3A65">
        <w:trPr>
          <w:trHeight w:val="284"/>
        </w:trPr>
        <w:tc>
          <w:tcPr>
            <w:tcW w:w="1456" w:type="dxa"/>
            <w:vMerge/>
            <w:tcBorders>
              <w:left w:val="nil"/>
              <w:bottom w:val="nil"/>
            </w:tcBorders>
            <w:shd w:val="clear" w:color="auto" w:fill="auto"/>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330" w:type="dxa"/>
            <w:vMerge/>
            <w:vAlign w:val="center"/>
          </w:tcPr>
          <w:p w:rsidR="007F3A65" w:rsidRPr="00D049A9" w:rsidRDefault="007F3A65" w:rsidP="007F3A65">
            <w:pPr>
              <w:jc w:val="center"/>
              <w:rPr>
                <w:rFonts w:ascii="Bookman Old Style" w:hAnsi="Bookman Old Style" w:cs="Times New Roman"/>
                <w:b/>
                <w:color w:val="000000" w:themeColor="text1"/>
                <w:sz w:val="20"/>
                <w:szCs w:val="20"/>
              </w:rPr>
            </w:pPr>
          </w:p>
        </w:tc>
        <w:tc>
          <w:tcPr>
            <w:tcW w:w="1292" w:type="dxa"/>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69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p>
        </w:tc>
        <w:tc>
          <w:tcPr>
            <w:tcW w:w="4649" w:type="dxa"/>
            <w:vAlign w:val="center"/>
          </w:tcPr>
          <w:p w:rsidR="007F3A65" w:rsidRPr="00D049A9" w:rsidRDefault="007F3A65" w:rsidP="007F3A65">
            <w:pPr>
              <w:jc w:val="both"/>
              <w:rPr>
                <w:rFonts w:ascii="Bookman Old Style" w:hAnsi="Bookman Old Style" w:cs="Times New Roman"/>
                <w:color w:val="000000" w:themeColor="text1"/>
                <w:sz w:val="20"/>
                <w:szCs w:val="20"/>
              </w:rPr>
            </w:pPr>
            <w:r>
              <w:t>**acesso em dezembro de 2016.</w:t>
            </w:r>
          </w:p>
        </w:tc>
      </w:tr>
    </w:tbl>
    <w:p w:rsidR="007F3A65" w:rsidRDefault="007F3A65"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7F3A65" w:rsidRPr="00D049A9" w:rsidTr="007F3A65">
        <w:trPr>
          <w:gridBefore w:val="1"/>
          <w:wBefore w:w="1456" w:type="dxa"/>
          <w:trHeight w:val="948"/>
        </w:trPr>
        <w:tc>
          <w:tcPr>
            <w:tcW w:w="1330" w:type="dxa"/>
            <w:vAlign w:val="center"/>
          </w:tcPr>
          <w:p w:rsidR="007F3A65" w:rsidRPr="00D049A9" w:rsidRDefault="007F3A65" w:rsidP="007F3A65">
            <w:pPr>
              <w:rPr>
                <w:rFonts w:ascii="Bookman Old Style" w:hAnsi="Bookman Old Style" w:cs="Times New Roman"/>
                <w:color w:val="000000" w:themeColor="text1"/>
                <w:sz w:val="20"/>
                <w:szCs w:val="20"/>
              </w:rPr>
            </w:pPr>
          </w:p>
          <w:p w:rsidR="007F3A65"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7F3A65" w:rsidRPr="00D049A9" w:rsidRDefault="007F3A65" w:rsidP="007F3A65">
            <w:pPr>
              <w:jc w:val="center"/>
              <w:rPr>
                <w:rFonts w:ascii="Bookman Old Style" w:hAnsi="Bookman Old Style" w:cs="Times New Roman"/>
                <w:color w:val="000000" w:themeColor="text1"/>
                <w:sz w:val="20"/>
                <w:szCs w:val="20"/>
              </w:rPr>
            </w:pPr>
            <w:proofErr w:type="gramStart"/>
            <w:r>
              <w:rPr>
                <w:rFonts w:ascii="Bookman Old Style" w:hAnsi="Bookman Old Style" w:cs="Times New Roman"/>
                <w:b/>
                <w:color w:val="000000" w:themeColor="text1"/>
                <w:sz w:val="20"/>
                <w:szCs w:val="20"/>
              </w:rPr>
              <w:t>9</w:t>
            </w:r>
            <w:proofErr w:type="gramEnd"/>
            <w:r>
              <w:rPr>
                <w:rFonts w:ascii="Bookman Old Style" w:hAnsi="Bookman Old Style" w:cs="Times New Roman"/>
                <w:b/>
                <w:color w:val="000000" w:themeColor="text1"/>
                <w:sz w:val="20"/>
                <w:szCs w:val="20"/>
              </w:rPr>
              <w:t xml:space="preserve"> B</w:t>
            </w:r>
          </w:p>
          <w:p w:rsidR="007F3A65" w:rsidRPr="00D049A9" w:rsidRDefault="007F3A65" w:rsidP="007F3A65">
            <w:pPr>
              <w:jc w:val="center"/>
              <w:rPr>
                <w:rFonts w:ascii="Bookman Old Style" w:hAnsi="Bookman Old Style" w:cs="Times New Roman"/>
                <w:color w:val="000000" w:themeColor="text1"/>
                <w:sz w:val="20"/>
                <w:szCs w:val="20"/>
              </w:rPr>
            </w:pPr>
          </w:p>
        </w:tc>
        <w:tc>
          <w:tcPr>
            <w:tcW w:w="7640" w:type="dxa"/>
            <w:gridSpan w:val="3"/>
            <w:vAlign w:val="center"/>
          </w:tcPr>
          <w:p w:rsidR="007F3A65" w:rsidRPr="00D049A9" w:rsidRDefault="007F3A65" w:rsidP="007F3A65">
            <w:pPr>
              <w:jc w:val="center"/>
              <w:rPr>
                <w:rFonts w:ascii="Bookman Old Style" w:hAnsi="Bookman Old Style" w:cs="Times New Roman"/>
                <w:b/>
                <w:color w:val="000000" w:themeColor="text1"/>
                <w:sz w:val="20"/>
                <w:szCs w:val="20"/>
              </w:rPr>
            </w:pPr>
            <w:r w:rsidRPr="007F3A65">
              <w:rPr>
                <w:rFonts w:ascii="Bookman Old Style" w:hAnsi="Bookman Old Style" w:cs="Times New Roman"/>
                <w:b/>
                <w:color w:val="000000" w:themeColor="text1"/>
                <w:sz w:val="20"/>
                <w:szCs w:val="20"/>
              </w:rPr>
              <w:t>Taxa de analfabetismo funcional da população de 15 anos ou mais de idade.</w:t>
            </w:r>
          </w:p>
        </w:tc>
      </w:tr>
      <w:tr w:rsidR="007F3A65" w:rsidRPr="00D049A9" w:rsidTr="007F3A65">
        <w:tblPrEx>
          <w:tblCellMar>
            <w:left w:w="108" w:type="dxa"/>
            <w:right w:w="108" w:type="dxa"/>
          </w:tblCellMar>
          <w:tblLook w:val="04A0"/>
        </w:tblPrEx>
        <w:trPr>
          <w:gridBefore w:val="1"/>
          <w:wBefore w:w="1456" w:type="dxa"/>
          <w:trHeight w:val="325"/>
        </w:trPr>
        <w:tc>
          <w:tcPr>
            <w:tcW w:w="1330" w:type="dxa"/>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7F3A65" w:rsidRPr="00D049A9" w:rsidTr="007F3A65">
        <w:trPr>
          <w:trHeight w:val="284"/>
        </w:trPr>
        <w:tc>
          <w:tcPr>
            <w:tcW w:w="1456" w:type="dxa"/>
            <w:vMerge w:val="restart"/>
            <w:tcBorders>
              <w:top w:val="nil"/>
              <w:left w:val="nil"/>
              <w:bottom w:val="nil"/>
            </w:tcBorders>
            <w:shd w:val="clear" w:color="auto" w:fill="auto"/>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330" w:type="dxa"/>
            <w:vMerge w:val="restart"/>
            <w:vAlign w:val="center"/>
          </w:tcPr>
          <w:p w:rsidR="007F3A65" w:rsidRPr="00D049A9" w:rsidRDefault="007F3A6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15,30%</w:t>
            </w:r>
          </w:p>
        </w:tc>
        <w:tc>
          <w:tcPr>
            <w:tcW w:w="1292" w:type="dxa"/>
            <w:vAlign w:val="center"/>
          </w:tcPr>
          <w:p w:rsidR="007F3A65" w:rsidRPr="00D049A9" w:rsidRDefault="007F3A65" w:rsidP="007F3A65">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19,60%</w:t>
            </w:r>
          </w:p>
        </w:tc>
        <w:tc>
          <w:tcPr>
            <w:tcW w:w="4649" w:type="dxa"/>
            <w:vAlign w:val="center"/>
          </w:tcPr>
          <w:p w:rsidR="007F3A65" w:rsidRPr="00D049A9" w:rsidRDefault="007F3A65" w:rsidP="007F3A65">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7F3A65" w:rsidRPr="00D049A9" w:rsidTr="007F3A65">
        <w:trPr>
          <w:trHeight w:val="284"/>
        </w:trPr>
        <w:tc>
          <w:tcPr>
            <w:tcW w:w="1456" w:type="dxa"/>
            <w:vMerge/>
            <w:tcBorders>
              <w:left w:val="nil"/>
              <w:bottom w:val="nil"/>
            </w:tcBorders>
            <w:shd w:val="clear" w:color="auto" w:fill="auto"/>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330" w:type="dxa"/>
            <w:vMerge/>
            <w:vAlign w:val="center"/>
          </w:tcPr>
          <w:p w:rsidR="007F3A65" w:rsidRPr="00D049A9" w:rsidRDefault="007F3A65" w:rsidP="007F3A65">
            <w:pPr>
              <w:jc w:val="center"/>
              <w:rPr>
                <w:rFonts w:ascii="Bookman Old Style" w:hAnsi="Bookman Old Style" w:cs="Times New Roman"/>
                <w:b/>
                <w:color w:val="000000" w:themeColor="text1"/>
                <w:sz w:val="20"/>
                <w:szCs w:val="20"/>
              </w:rPr>
            </w:pPr>
          </w:p>
        </w:tc>
        <w:tc>
          <w:tcPr>
            <w:tcW w:w="1292" w:type="dxa"/>
            <w:vAlign w:val="center"/>
          </w:tcPr>
          <w:p w:rsidR="007F3A65" w:rsidRPr="00D049A9" w:rsidRDefault="007F3A65" w:rsidP="007F3A65">
            <w:pPr>
              <w:jc w:val="center"/>
              <w:rPr>
                <w:rFonts w:ascii="Bookman Old Style" w:hAnsi="Bookman Old Style" w:cs="Times New Roman"/>
                <w:color w:val="000000" w:themeColor="text1"/>
                <w:sz w:val="20"/>
                <w:szCs w:val="20"/>
              </w:rPr>
            </w:pPr>
          </w:p>
        </w:tc>
        <w:tc>
          <w:tcPr>
            <w:tcW w:w="1699" w:type="dxa"/>
            <w:vAlign w:val="center"/>
          </w:tcPr>
          <w:p w:rsidR="007F3A65" w:rsidRPr="00D049A9" w:rsidRDefault="007F3A65" w:rsidP="007F3A65">
            <w:pPr>
              <w:jc w:val="center"/>
              <w:rPr>
                <w:rFonts w:ascii="Bookman Old Style" w:hAnsi="Bookman Old Style" w:cs="Times New Roman"/>
                <w:b/>
                <w:color w:val="000000" w:themeColor="text1"/>
                <w:sz w:val="20"/>
                <w:szCs w:val="20"/>
              </w:rPr>
            </w:pPr>
          </w:p>
        </w:tc>
        <w:tc>
          <w:tcPr>
            <w:tcW w:w="4649" w:type="dxa"/>
            <w:vAlign w:val="center"/>
          </w:tcPr>
          <w:p w:rsidR="007F3A65" w:rsidRPr="00D049A9" w:rsidRDefault="007F3A65" w:rsidP="007F3A65">
            <w:pPr>
              <w:jc w:val="both"/>
              <w:rPr>
                <w:rFonts w:ascii="Bookman Old Style" w:hAnsi="Bookman Old Style" w:cs="Times New Roman"/>
                <w:color w:val="000000" w:themeColor="text1"/>
                <w:sz w:val="20"/>
                <w:szCs w:val="20"/>
              </w:rPr>
            </w:pPr>
            <w:r>
              <w:t>**acesso em dezembro de 2016.</w:t>
            </w:r>
          </w:p>
        </w:tc>
      </w:tr>
    </w:tbl>
    <w:p w:rsidR="007F3A65" w:rsidRDefault="007F3A65" w:rsidP="002E00DD">
      <w:pPr>
        <w:jc w:val="both"/>
        <w:rPr>
          <w:rFonts w:ascii="Bookman Old Style" w:hAnsi="Bookman Old Style" w:cs="Times New Roman"/>
          <w:color w:val="000000" w:themeColor="text1"/>
          <w:sz w:val="24"/>
          <w:szCs w:val="24"/>
        </w:rPr>
      </w:pPr>
    </w:p>
    <w:p w:rsidR="007F3A65" w:rsidRPr="007F3A65" w:rsidRDefault="007F3A65" w:rsidP="007F3A65">
      <w:pPr>
        <w:jc w:val="both"/>
        <w:rPr>
          <w:rFonts w:ascii="Bookman Old Style" w:hAnsi="Bookman Old Style" w:cs="Times New Roman"/>
          <w:b/>
          <w:color w:val="000000" w:themeColor="text1"/>
          <w:sz w:val="24"/>
          <w:szCs w:val="24"/>
        </w:rPr>
      </w:pPr>
      <w:r w:rsidRPr="007F3A65">
        <w:rPr>
          <w:rFonts w:ascii="Bookman Old Style" w:hAnsi="Bookman Old Style" w:cs="Times New Roman"/>
          <w:b/>
          <w:color w:val="000000" w:themeColor="text1"/>
          <w:sz w:val="24"/>
          <w:szCs w:val="24"/>
        </w:rPr>
        <w:t>Contextualização da Meta:</w:t>
      </w:r>
    </w:p>
    <w:p w:rsidR="007F3A65" w:rsidRPr="007F3A65" w:rsidRDefault="007F3A65" w:rsidP="007F3A65">
      <w:pPr>
        <w:ind w:firstLine="567"/>
        <w:jc w:val="both"/>
        <w:rPr>
          <w:rFonts w:ascii="Bookman Old Style" w:hAnsi="Bookman Old Style" w:cs="Times New Roman"/>
          <w:color w:val="000000" w:themeColor="text1"/>
          <w:sz w:val="24"/>
          <w:szCs w:val="24"/>
        </w:rPr>
      </w:pPr>
      <w:r w:rsidRPr="007F3A65">
        <w:rPr>
          <w:rFonts w:ascii="Bookman Old Style" w:hAnsi="Bookman Old Style" w:cs="Times New Roman"/>
          <w:color w:val="000000" w:themeColor="text1"/>
          <w:sz w:val="24"/>
          <w:szCs w:val="24"/>
        </w:rPr>
        <w:t xml:space="preserve">A meta de número 09 do Plano Municipal de Educação visa elevar a taxa de alfabetização da população de 15 anos ou mais para 93,5% até o ano de 2015, bem como até o final da vigência do Plano erradicar o analfabetismo absoluto e reduzir para 50% o analfabetismo funcional. A inclusão social por meio da educação é vital para elevar o grau de </w:t>
      </w:r>
      <w:proofErr w:type="spellStart"/>
      <w:r w:rsidRPr="007F3A65">
        <w:rPr>
          <w:rFonts w:ascii="Bookman Old Style" w:hAnsi="Bookman Old Style" w:cs="Times New Roman"/>
          <w:color w:val="000000" w:themeColor="text1"/>
          <w:sz w:val="24"/>
          <w:szCs w:val="24"/>
        </w:rPr>
        <w:t>criticidade</w:t>
      </w:r>
      <w:proofErr w:type="spellEnd"/>
      <w:r w:rsidRPr="007F3A65">
        <w:rPr>
          <w:rFonts w:ascii="Bookman Old Style" w:hAnsi="Bookman Old Style" w:cs="Times New Roman"/>
          <w:color w:val="000000" w:themeColor="text1"/>
          <w:sz w:val="24"/>
          <w:szCs w:val="24"/>
        </w:rPr>
        <w:t xml:space="preserve"> da população “vulnerável” com vistas a prepará-la de forma mais qualificada para o acesso ao emprego, contribuindo para o exercício da cidadania.</w:t>
      </w:r>
    </w:p>
    <w:p w:rsidR="007F3A65" w:rsidRPr="007F3A65" w:rsidRDefault="007F3A65" w:rsidP="007F3A65">
      <w:pPr>
        <w:ind w:firstLine="567"/>
        <w:jc w:val="both"/>
        <w:rPr>
          <w:rFonts w:ascii="Bookman Old Style" w:hAnsi="Bookman Old Style" w:cs="Times New Roman"/>
          <w:color w:val="000000" w:themeColor="text1"/>
          <w:sz w:val="24"/>
          <w:szCs w:val="24"/>
        </w:rPr>
      </w:pPr>
      <w:r w:rsidRPr="007F3A65">
        <w:rPr>
          <w:rFonts w:ascii="Bookman Old Style" w:hAnsi="Bookman Old Style" w:cs="Times New Roman"/>
          <w:color w:val="000000" w:themeColor="text1"/>
          <w:sz w:val="24"/>
          <w:szCs w:val="24"/>
        </w:rPr>
        <w:t>As estratégias parametrizadas pela meta visam assegurar a oferta gratuita da educação de jovens e adultos e que não tiveram o acesso á educação na idade própria. Promover divulgação e realizar o levantamento das carências/necessidades no âmbito do Município, objetando fortalecer e intensificar as ações de alfabetização de jovens e adultos com a garantia da continuidade da escolarização. Criar a possibilidade e fomentar a oferta do EJA (Educação de Jovens e Adultos) nas escolas localizadas no Município, ofertando também cursos condizentes com a realidade local. Desenvolver políticas públicas que atendam as necessidades dos jovens e adultos no tangente a erradicação de analfabetismo, o acesso às tecnologias educacionais, atividades de caráter recreativo, culturais, esportivas, bem como o compartilhamento de experiências com os idosos, na inclusão de temáticas voltadas á esta faixa etária.</w:t>
      </w:r>
    </w:p>
    <w:p w:rsidR="007F3A65" w:rsidRPr="00B3094D" w:rsidRDefault="007F3A65" w:rsidP="007F3A65">
      <w:pPr>
        <w:ind w:firstLine="567"/>
        <w:jc w:val="both"/>
        <w:rPr>
          <w:rFonts w:ascii="Bookman Old Style" w:hAnsi="Bookman Old Style" w:cs="Times New Roman"/>
          <w:color w:val="000000" w:themeColor="text1"/>
          <w:sz w:val="24"/>
          <w:szCs w:val="24"/>
        </w:rPr>
      </w:pPr>
      <w:r w:rsidRPr="007F3A65">
        <w:rPr>
          <w:rFonts w:ascii="Bookman Old Style" w:hAnsi="Bookman Old Style" w:cs="Times New Roman"/>
          <w:color w:val="000000" w:themeColor="text1"/>
          <w:sz w:val="24"/>
          <w:szCs w:val="24"/>
        </w:rPr>
        <w:t xml:space="preserve">A inclusão do segmento populacional detalhado nesta meta e que não teve acesso à escolaridade mínima, para a erradicação do analfabetismo e a redução do analfabetismo funcional. Enseja que todos tenham acessos </w:t>
      </w:r>
      <w:r w:rsidRPr="007F3A65">
        <w:rPr>
          <w:rFonts w:ascii="Bookman Old Style" w:hAnsi="Bookman Old Style" w:cs="Times New Roman"/>
          <w:color w:val="000000" w:themeColor="text1"/>
          <w:sz w:val="24"/>
          <w:szCs w:val="24"/>
        </w:rPr>
        <w:lastRenderedPageBreak/>
        <w:t>mínimos à educação, ao menos no que tange a alfabetização mesmo que parcial. As estratégias propostas dão a tônica do que deve ser realizado, isto é, das ações mínimas e básicas para atingirmos o proposto e devidamente pactuado na meta. Esta meta subdivide-se em dois indicadores distintos que serão o instrumental do monitoramento. Os indicadores prevêem os índices expressos em percentuais das populações de 15 anos ou mais alfabetizadas e as portadoras de analfabetismo funcional. Esta inclusão é vital para promover a igualdade social e cultural entre a população do Município, equalizando pelo menos em princípios o nível de conhecimento.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7F3A65" w:rsidRPr="00540B0B" w:rsidTr="007F3A65">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7F3A65" w:rsidRPr="00540B0B" w:rsidRDefault="007F3A65" w:rsidP="007F3A65">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7F3A65" w:rsidRPr="00540B0B" w:rsidRDefault="007F3A6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7F3A65" w:rsidRPr="00540B0B" w:rsidRDefault="007F3A6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7F3A65" w:rsidRPr="00540B0B" w:rsidRDefault="007F3A65" w:rsidP="007F3A65">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7F3A65" w:rsidRDefault="007F3A65" w:rsidP="007F3A65">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7F3A65" w:rsidRPr="00540B0B" w:rsidRDefault="007F3A65"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Assegurar a oferta gratuita da educação de jovens e adultos a todos os que não tiveram acesso à educação básica na idade própria.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Realizar levantamento dos jovens e adultos com ensino fundamental e médio incompletos, para identificar a demanda ativa por vagas nesta modalidade.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Divulgar amplamente a oferta da educação de jovens e adultos e promover busca ativa em regime de colaboração em parcerias com Assistência Social e saúde.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Fortalecer e intensificar ações de alfabetização de jovens e adultos com garantia de continuidade da escolarização básica, com rede de apoio à aprendizagem, de forma permanente, no turno de aula, proporcionando atendimentos aos estudantes com dificuldades de aprendizagem e com deficiência.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Promover o acesso ao ensino fundamental aos egressos de programas de alfabetização e garantir o acesso a exames de reclassificação e de certificação da aprendizagem.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lastRenderedPageBreak/>
              <w:t>9.6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Ofertar e assegurar, em todas as escolas que atuam na modalidade EJA, ações de alfabetização com turmas iniciais.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3383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Executar, em articulação com a área da saúde, programas que contemplem as necessidades da faixa etária atendida da EJA, bem como, programa nacional de atendimento oftalmológico e fornecimento gratuito de óculos para estudantes da educação de jovens e adultos.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Plano Plurianual: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 Estabelecer convênios com escolas técnicas para o oferecimento de cursos que atendam à realidade local.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r w:rsidR="007F3A65" w:rsidRPr="007F3A65" w:rsidTr="007F3A65">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jc w:val="both"/>
              <w:rPr>
                <w:rFonts w:ascii="Calibri" w:eastAsia="Times New Roman" w:hAnsi="Calibri" w:cs="Calibri"/>
                <w:color w:val="000000"/>
                <w:lang w:eastAsia="pt-BR"/>
              </w:rPr>
            </w:pPr>
            <w:r w:rsidRPr="007F3A65">
              <w:rPr>
                <w:rFonts w:ascii="Calibri" w:eastAsia="Times New Roman" w:hAnsi="Calibri" w:cs="Calibri"/>
                <w:color w:val="000000"/>
                <w:lang w:eastAsia="pt-BR"/>
              </w:rPr>
              <w:t>9.9</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 xml:space="preserve">Valorizar, nas políticas publicas de jovens e adultos, as necessidades dos idosos, com vistas à promoção de políticas de erradicação de analfabetismo ao acesso a tecnologias educacionais e atividades recreativas, culturais e esportivas, a </w:t>
            </w:r>
            <w:proofErr w:type="gramStart"/>
            <w:r w:rsidRPr="007F3A65">
              <w:rPr>
                <w:rFonts w:ascii="Calibri" w:eastAsia="Times New Roman" w:hAnsi="Calibri" w:cs="Calibri"/>
                <w:color w:val="000000"/>
                <w:lang w:eastAsia="pt-BR"/>
              </w:rPr>
              <w:t>implementação</w:t>
            </w:r>
            <w:proofErr w:type="gramEnd"/>
            <w:r w:rsidRPr="007F3A65">
              <w:rPr>
                <w:rFonts w:ascii="Calibri" w:eastAsia="Times New Roman" w:hAnsi="Calibri" w:cs="Calibri"/>
                <w:color w:val="000000"/>
                <w:lang w:eastAsia="pt-BR"/>
              </w:rPr>
              <w:t xml:space="preserve"> de programas de valorização e compartilhamento dos conhecimentos e experiência dos idosos e à inclusão dos temas do envelhecimento e da velhice nas escolas.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F3A65" w:rsidP="007F3A65">
            <w:pPr>
              <w:spacing w:after="0" w:line="240" w:lineRule="auto"/>
              <w:rPr>
                <w:rFonts w:ascii="Calibri" w:eastAsia="Times New Roman" w:hAnsi="Calibri" w:cs="Calibri"/>
                <w:color w:val="000000"/>
                <w:lang w:eastAsia="pt-BR"/>
              </w:rPr>
            </w:pPr>
            <w:r w:rsidRPr="007F3A65">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7F3A65" w:rsidRPr="007F3A65" w:rsidRDefault="00733837" w:rsidP="007F3A65">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realizado</w:t>
            </w:r>
          </w:p>
        </w:tc>
      </w:tr>
    </w:tbl>
    <w:p w:rsidR="00704102" w:rsidRDefault="00704102" w:rsidP="002E00DD">
      <w:pPr>
        <w:jc w:val="both"/>
        <w:rPr>
          <w:rFonts w:ascii="Bookman Old Style" w:hAnsi="Bookman Old Style" w:cs="Times New Roman"/>
          <w:color w:val="000000" w:themeColor="text1"/>
          <w:sz w:val="24"/>
          <w:szCs w:val="24"/>
        </w:rPr>
      </w:pPr>
    </w:p>
    <w:p w:rsidR="00733837" w:rsidRPr="00733837" w:rsidRDefault="00733837" w:rsidP="00733837">
      <w:pPr>
        <w:jc w:val="both"/>
        <w:rPr>
          <w:rFonts w:ascii="Bookman Old Style" w:hAnsi="Bookman Old Style" w:cs="Times New Roman"/>
          <w:b/>
          <w:color w:val="000000" w:themeColor="text1"/>
          <w:sz w:val="24"/>
          <w:szCs w:val="24"/>
        </w:rPr>
      </w:pPr>
      <w:r w:rsidRPr="00733837">
        <w:rPr>
          <w:rFonts w:ascii="Bookman Old Style" w:hAnsi="Bookman Old Style" w:cs="Times New Roman"/>
          <w:b/>
          <w:color w:val="000000" w:themeColor="text1"/>
          <w:sz w:val="24"/>
          <w:szCs w:val="24"/>
        </w:rPr>
        <w:t>Conclusão a respeito da Meta:</w:t>
      </w:r>
    </w:p>
    <w:p w:rsidR="00733837" w:rsidRPr="00733837" w:rsidRDefault="00733837" w:rsidP="00733837">
      <w:pPr>
        <w:ind w:firstLine="567"/>
        <w:jc w:val="both"/>
        <w:rPr>
          <w:rFonts w:ascii="Bookman Old Style" w:hAnsi="Bookman Old Style" w:cs="Times New Roman"/>
          <w:color w:val="000000" w:themeColor="text1"/>
          <w:sz w:val="24"/>
          <w:szCs w:val="24"/>
        </w:rPr>
      </w:pPr>
      <w:r w:rsidRPr="00733837">
        <w:rPr>
          <w:rFonts w:ascii="Bookman Old Style" w:hAnsi="Bookman Old Style" w:cs="Times New Roman"/>
          <w:color w:val="000000" w:themeColor="text1"/>
          <w:sz w:val="24"/>
          <w:szCs w:val="24"/>
        </w:rPr>
        <w:t xml:space="preserve">A erradicação do analfabetismo é um desafio constante e uma temática importante no que tange à educação, cultura, cidadania e inclusão social. Quanto maior o grau de escolaridade da população maior e melhor será a sua participação no controle social das políticas públicas, e no exercício da cidadania. Entretanto é também finalidade desta meta do Plano a diminuição considerável das taxas percentuais do analfabetismo funcional. Isto porque o analfabetismo funcional também é um fator excludente da população, privando-a do conhecimento, das melhores oportunidades de trabalho. </w:t>
      </w:r>
    </w:p>
    <w:p w:rsidR="00704102" w:rsidRDefault="00733837" w:rsidP="00733837">
      <w:pPr>
        <w:ind w:firstLine="567"/>
        <w:jc w:val="both"/>
        <w:rPr>
          <w:rFonts w:ascii="Bookman Old Style" w:hAnsi="Bookman Old Style" w:cs="Times New Roman"/>
          <w:color w:val="000000" w:themeColor="text1"/>
          <w:sz w:val="24"/>
          <w:szCs w:val="24"/>
        </w:rPr>
      </w:pPr>
      <w:r w:rsidRPr="00733837">
        <w:rPr>
          <w:rFonts w:ascii="Bookman Old Style" w:hAnsi="Bookman Old Style" w:cs="Times New Roman"/>
          <w:color w:val="000000" w:themeColor="text1"/>
          <w:sz w:val="24"/>
          <w:szCs w:val="24"/>
        </w:rPr>
        <w:lastRenderedPageBreak/>
        <w:t xml:space="preserve">É desafio do Município de Paulo Bento, </w:t>
      </w:r>
      <w:r>
        <w:rPr>
          <w:rFonts w:ascii="Bookman Old Style" w:hAnsi="Bookman Old Style" w:cs="Times New Roman"/>
          <w:color w:val="000000" w:themeColor="text1"/>
          <w:sz w:val="24"/>
          <w:szCs w:val="24"/>
        </w:rPr>
        <w:t xml:space="preserve">no que pese ter atingido a referida meta, </w:t>
      </w:r>
      <w:proofErr w:type="gramStart"/>
      <w:r>
        <w:rPr>
          <w:rFonts w:ascii="Bookman Old Style" w:hAnsi="Bookman Old Style" w:cs="Times New Roman"/>
          <w:color w:val="000000" w:themeColor="text1"/>
          <w:sz w:val="24"/>
          <w:szCs w:val="24"/>
        </w:rPr>
        <w:t>implementar</w:t>
      </w:r>
      <w:proofErr w:type="gramEnd"/>
      <w:r>
        <w:rPr>
          <w:rFonts w:ascii="Bookman Old Style" w:hAnsi="Bookman Old Style" w:cs="Times New Roman"/>
          <w:color w:val="000000" w:themeColor="text1"/>
          <w:sz w:val="24"/>
          <w:szCs w:val="24"/>
        </w:rPr>
        <w:t xml:space="preserve"> as estratégias que são delineadas aqui, para qualificar e elevar mais os seus índices.</w:t>
      </w:r>
      <w:r w:rsidRPr="00733837">
        <w:rPr>
          <w:rFonts w:ascii="Bookman Old Style" w:hAnsi="Bookman Old Style" w:cs="Times New Roman"/>
          <w:color w:val="000000" w:themeColor="text1"/>
          <w:sz w:val="24"/>
          <w:szCs w:val="24"/>
        </w:rPr>
        <w:t xml:space="preserve"> </w:t>
      </w:r>
      <w:r>
        <w:rPr>
          <w:rFonts w:ascii="Bookman Old Style" w:hAnsi="Bookman Old Style" w:cs="Times New Roman"/>
          <w:color w:val="000000" w:themeColor="text1"/>
          <w:sz w:val="24"/>
          <w:szCs w:val="24"/>
        </w:rPr>
        <w:t>Isto porque a</w:t>
      </w:r>
      <w:r w:rsidRPr="00733837">
        <w:rPr>
          <w:rFonts w:ascii="Bookman Old Style" w:hAnsi="Bookman Old Style" w:cs="Times New Roman"/>
          <w:color w:val="000000" w:themeColor="text1"/>
          <w:sz w:val="24"/>
          <w:szCs w:val="24"/>
        </w:rPr>
        <w:t xml:space="preserve"> educação deve atingir todas as camadas sociais e faixas etárias da população, para podermos construir uma sociedade mais igualitária e que tenha maiores possibilidades de decidir o seu futuro.</w:t>
      </w:r>
    </w:p>
    <w:p w:rsidR="001A6DCF" w:rsidRDefault="001A6DCF" w:rsidP="00666FDE">
      <w:pPr>
        <w:jc w:val="both"/>
        <w:rPr>
          <w:rFonts w:ascii="Bookman Old Style" w:hAnsi="Bookman Old Style" w:cs="Times New Roman"/>
          <w:color w:val="000000" w:themeColor="text1"/>
          <w:sz w:val="24"/>
          <w:szCs w:val="24"/>
        </w:rPr>
      </w:pPr>
    </w:p>
    <w:p w:rsidR="00666FDE" w:rsidRDefault="00666FDE" w:rsidP="00666FDE">
      <w:pPr>
        <w:pStyle w:val="PargrafodaLista"/>
        <w:numPr>
          <w:ilvl w:val="0"/>
          <w:numId w:val="22"/>
        </w:numPr>
        <w:jc w:val="both"/>
        <w:rPr>
          <w:rFonts w:ascii="Bookman Old Style" w:hAnsi="Bookman Old Style" w:cs="Times New Roman"/>
          <w:b/>
          <w:color w:val="000000" w:themeColor="text1"/>
          <w:sz w:val="24"/>
          <w:szCs w:val="24"/>
        </w:rPr>
      </w:pPr>
      <w:r w:rsidRPr="00047456">
        <w:rPr>
          <w:rFonts w:ascii="Bookman Old Style" w:hAnsi="Bookman Old Style" w:cs="Times New Roman"/>
          <w:b/>
          <w:color w:val="000000" w:themeColor="text1"/>
          <w:sz w:val="24"/>
          <w:szCs w:val="24"/>
        </w:rPr>
        <w:t>Sugestão de Nova Redação da Meta:</w:t>
      </w:r>
    </w:p>
    <w:p w:rsidR="00666FDE" w:rsidRPr="00666FDE" w:rsidRDefault="00666FDE" w:rsidP="00666FDE">
      <w:pPr>
        <w:ind w:firstLine="567"/>
        <w:jc w:val="both"/>
        <w:rPr>
          <w:rFonts w:ascii="Bookman Old Style" w:hAnsi="Bookman Old Style" w:cs="Times New Roman"/>
          <w:i/>
          <w:color w:val="000000" w:themeColor="text1"/>
          <w:sz w:val="24"/>
          <w:szCs w:val="24"/>
        </w:rPr>
      </w:pPr>
      <w:r>
        <w:rPr>
          <w:rFonts w:ascii="Bookman Old Style" w:hAnsi="Bookman Old Style" w:cs="Times New Roman"/>
          <w:color w:val="000000" w:themeColor="text1"/>
          <w:sz w:val="24"/>
          <w:szCs w:val="24"/>
        </w:rPr>
        <w:t>Com relação à Meta nº. 09</w:t>
      </w:r>
      <w:r w:rsidRPr="00666FDE">
        <w:rPr>
          <w:rFonts w:ascii="Bookman Old Style" w:hAnsi="Bookman Old Style" w:cs="Times New Roman"/>
          <w:color w:val="000000" w:themeColor="text1"/>
          <w:sz w:val="24"/>
          <w:szCs w:val="24"/>
        </w:rPr>
        <w:t>, após análise, e considerando que a sua redação não está em concordância com o PNE, propõe-se a seguinte adequação a ser realizada na íntegra:</w:t>
      </w:r>
    </w:p>
    <w:p w:rsidR="00666FDE" w:rsidRDefault="00666FDE" w:rsidP="00666FDE">
      <w:pPr>
        <w:jc w:val="both"/>
        <w:rPr>
          <w:rFonts w:ascii="Bookman Old Style" w:hAnsi="Bookman Old Style" w:cs="Times New Roman"/>
          <w:i/>
          <w:color w:val="000000" w:themeColor="text1"/>
          <w:sz w:val="24"/>
          <w:szCs w:val="24"/>
        </w:rPr>
      </w:pPr>
      <w:r w:rsidRPr="00666FDE">
        <w:rPr>
          <w:rFonts w:ascii="Bookman Old Style" w:hAnsi="Bookman Old Style" w:cs="Times New Roman"/>
          <w:i/>
          <w:color w:val="000000" w:themeColor="text1"/>
          <w:sz w:val="24"/>
          <w:szCs w:val="24"/>
        </w:rPr>
        <w:t xml:space="preserve">“Elevar a taxa de alfabetização da população com 15 (quinze) anos ou mais para 93,5% (noventa e três inteiros e cinco décimos por cento) até 2015 e, </w:t>
      </w:r>
      <w:r w:rsidRPr="00666FDE">
        <w:rPr>
          <w:rFonts w:ascii="Bookman Old Style" w:hAnsi="Bookman Old Style" w:cs="Times New Roman"/>
          <w:i/>
          <w:color w:val="000000" w:themeColor="text1"/>
          <w:sz w:val="24"/>
          <w:szCs w:val="24"/>
          <w:highlight w:val="lightGray"/>
        </w:rPr>
        <w:t>até o final da vigência deste PNE,</w:t>
      </w:r>
      <w:r w:rsidRPr="00666FDE">
        <w:rPr>
          <w:rFonts w:ascii="Bookman Old Style" w:hAnsi="Bookman Old Style" w:cs="Times New Roman"/>
          <w:i/>
          <w:color w:val="000000" w:themeColor="text1"/>
          <w:sz w:val="24"/>
          <w:szCs w:val="24"/>
        </w:rPr>
        <w:t xml:space="preserve"> erradicar o analfabetismo absoluto e reduzir em 50% (</w:t>
      </w:r>
      <w:proofErr w:type="spellStart"/>
      <w:r w:rsidRPr="00666FDE">
        <w:rPr>
          <w:rFonts w:ascii="Bookman Old Style" w:hAnsi="Bookman Old Style" w:cs="Times New Roman"/>
          <w:i/>
          <w:color w:val="000000" w:themeColor="text1"/>
          <w:sz w:val="24"/>
          <w:szCs w:val="24"/>
        </w:rPr>
        <w:t>cinquenta</w:t>
      </w:r>
      <w:proofErr w:type="spellEnd"/>
      <w:r w:rsidRPr="00666FDE">
        <w:rPr>
          <w:rFonts w:ascii="Bookman Old Style" w:hAnsi="Bookman Old Style" w:cs="Times New Roman"/>
          <w:i/>
          <w:color w:val="000000" w:themeColor="text1"/>
          <w:sz w:val="24"/>
          <w:szCs w:val="24"/>
        </w:rPr>
        <w:t xml:space="preserve"> por cento) a taxa de analfabetismo funcional.”</w:t>
      </w:r>
    </w:p>
    <w:p w:rsidR="002D3310" w:rsidRPr="00D81FEF" w:rsidRDefault="00F01C84" w:rsidP="00D81FEF">
      <w:pPr>
        <w:pStyle w:val="Ttulo1"/>
        <w:numPr>
          <w:ilvl w:val="0"/>
          <w:numId w:val="24"/>
        </w:numPr>
        <w:ind w:left="851" w:hanging="491"/>
        <w:rPr>
          <w:rFonts w:ascii="Bookman Old Style" w:hAnsi="Bookman Old Style"/>
          <w:color w:val="auto"/>
        </w:rPr>
      </w:pPr>
      <w:bookmarkStart w:id="13" w:name="_Toc497809479"/>
      <w:r w:rsidRPr="00D81FEF">
        <w:rPr>
          <w:rFonts w:ascii="Bookman Old Style" w:hAnsi="Bookman Old Style"/>
          <w:color w:val="auto"/>
        </w:rPr>
        <w:t xml:space="preserve">Meta </w:t>
      </w:r>
      <w:r w:rsidR="00216EAD" w:rsidRPr="00D81FEF">
        <w:rPr>
          <w:rFonts w:ascii="Bookman Old Style" w:hAnsi="Bookman Old Style"/>
          <w:color w:val="auto"/>
        </w:rPr>
        <w:t xml:space="preserve">sobre EJA Integrada </w:t>
      </w:r>
      <w:r w:rsidR="00101A88" w:rsidRPr="00D81FEF">
        <w:rPr>
          <w:rFonts w:ascii="Bookman Old Style" w:hAnsi="Bookman Old Style"/>
          <w:color w:val="auto"/>
        </w:rPr>
        <w:t>à</w:t>
      </w:r>
      <w:r w:rsidR="00216EAD" w:rsidRPr="00D81FEF">
        <w:rPr>
          <w:rFonts w:ascii="Bookman Old Style" w:hAnsi="Bookman Old Style"/>
          <w:color w:val="auto"/>
        </w:rPr>
        <w:t xml:space="preserve"> Educação Profissional</w:t>
      </w:r>
      <w:bookmarkEnd w:id="13"/>
    </w:p>
    <w:p w:rsidR="00D81FEF" w:rsidRPr="00D81FEF" w:rsidRDefault="00D81FEF" w:rsidP="00D81FEF"/>
    <w:p w:rsidR="00A158C9" w:rsidRPr="00B3094D" w:rsidRDefault="00A158C9" w:rsidP="001A6DCF">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1A6DCF">
        <w:rPr>
          <w:rFonts w:ascii="Bookman Old Style" w:hAnsi="Bookman Old Style" w:cs="Times New Roman"/>
          <w:b/>
          <w:color w:val="000000" w:themeColor="text1"/>
          <w:sz w:val="24"/>
          <w:szCs w:val="24"/>
        </w:rPr>
        <w:t xml:space="preserve"> nº. 10:</w:t>
      </w:r>
      <w:r w:rsidRPr="00B3094D">
        <w:rPr>
          <w:rFonts w:ascii="Bookman Old Style" w:hAnsi="Bookman Old Style" w:cs="Times New Roman"/>
          <w:b/>
          <w:color w:val="000000" w:themeColor="text1"/>
          <w:sz w:val="24"/>
          <w:szCs w:val="24"/>
        </w:rPr>
        <w:t xml:space="preserve"> </w:t>
      </w:r>
      <w:r w:rsidR="001A6DCF" w:rsidRPr="001A6DCF">
        <w:rPr>
          <w:rFonts w:ascii="Bookman Old Style" w:hAnsi="Bookman Old Style" w:cs="Times New Roman"/>
          <w:b/>
          <w:color w:val="000000" w:themeColor="text1"/>
          <w:sz w:val="24"/>
          <w:szCs w:val="24"/>
        </w:rPr>
        <w:t xml:space="preserve">Oferecer, no mínimo, 25% das matrículas de educação de jovens e adultos na forma integrada à educação profissional, nos </w:t>
      </w:r>
      <w:proofErr w:type="gramStart"/>
      <w:r w:rsidR="001A6DCF" w:rsidRPr="001A6DCF">
        <w:rPr>
          <w:rFonts w:ascii="Bookman Old Style" w:hAnsi="Bookman Old Style" w:cs="Times New Roman"/>
          <w:b/>
          <w:color w:val="000000" w:themeColor="text1"/>
          <w:sz w:val="24"/>
          <w:szCs w:val="24"/>
        </w:rPr>
        <w:t>ensinos fundamental e médio</w:t>
      </w:r>
      <w:proofErr w:type="gramEnd"/>
      <w:r w:rsidR="001A6DCF" w:rsidRPr="001A6DCF">
        <w:rPr>
          <w:rFonts w:ascii="Bookman Old Style" w:hAnsi="Bookman Old Style" w:cs="Times New Roman"/>
          <w:b/>
          <w:color w:val="000000" w:themeColor="text1"/>
          <w:sz w:val="24"/>
          <w:szCs w:val="24"/>
        </w:rPr>
        <w:t>.</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136148" w:rsidRPr="00D049A9" w:rsidTr="009F0662">
        <w:trPr>
          <w:gridBefore w:val="1"/>
          <w:wBefore w:w="1456" w:type="dxa"/>
          <w:trHeight w:val="948"/>
        </w:trPr>
        <w:tc>
          <w:tcPr>
            <w:tcW w:w="1330" w:type="dxa"/>
            <w:vAlign w:val="center"/>
          </w:tcPr>
          <w:p w:rsidR="00136148" w:rsidRPr="00D049A9" w:rsidRDefault="00136148" w:rsidP="009F0662">
            <w:pPr>
              <w:rPr>
                <w:rFonts w:ascii="Bookman Old Style" w:hAnsi="Bookman Old Style" w:cs="Times New Roman"/>
                <w:color w:val="000000" w:themeColor="text1"/>
                <w:sz w:val="20"/>
                <w:szCs w:val="20"/>
              </w:rPr>
            </w:pPr>
          </w:p>
          <w:p w:rsidR="00136148" w:rsidRDefault="00136148" w:rsidP="009F0662">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136148" w:rsidRPr="00D049A9" w:rsidRDefault="00136148" w:rsidP="009F0662">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10 A</w:t>
            </w:r>
          </w:p>
          <w:p w:rsidR="00136148" w:rsidRPr="00D049A9" w:rsidRDefault="00136148" w:rsidP="009F0662">
            <w:pPr>
              <w:jc w:val="center"/>
              <w:rPr>
                <w:rFonts w:ascii="Bookman Old Style" w:hAnsi="Bookman Old Style" w:cs="Times New Roman"/>
                <w:color w:val="000000" w:themeColor="text1"/>
                <w:sz w:val="20"/>
                <w:szCs w:val="20"/>
              </w:rPr>
            </w:pPr>
          </w:p>
        </w:tc>
        <w:tc>
          <w:tcPr>
            <w:tcW w:w="7640" w:type="dxa"/>
            <w:gridSpan w:val="3"/>
            <w:vAlign w:val="center"/>
          </w:tcPr>
          <w:p w:rsidR="00136148" w:rsidRPr="00D049A9" w:rsidRDefault="00136148" w:rsidP="009F0662">
            <w:pPr>
              <w:jc w:val="center"/>
              <w:rPr>
                <w:rFonts w:ascii="Bookman Old Style" w:hAnsi="Bookman Old Style" w:cs="Times New Roman"/>
                <w:b/>
                <w:color w:val="000000" w:themeColor="text1"/>
                <w:sz w:val="20"/>
                <w:szCs w:val="20"/>
              </w:rPr>
            </w:pPr>
            <w:r w:rsidRPr="00136148">
              <w:rPr>
                <w:rFonts w:ascii="Bookman Old Style" w:hAnsi="Bookman Old Style" w:cs="Times New Roman"/>
                <w:b/>
                <w:color w:val="000000" w:themeColor="text1"/>
                <w:sz w:val="20"/>
                <w:szCs w:val="20"/>
              </w:rPr>
              <w:t>Percentual de matrículas de Educação de Jovens e Adultos na forma integrada à Educação Profissional.</w:t>
            </w:r>
          </w:p>
        </w:tc>
      </w:tr>
      <w:tr w:rsidR="00136148" w:rsidRPr="00D049A9" w:rsidTr="009F0662">
        <w:tblPrEx>
          <w:tblCellMar>
            <w:left w:w="108" w:type="dxa"/>
            <w:right w:w="108" w:type="dxa"/>
          </w:tblCellMar>
          <w:tblLook w:val="04A0"/>
        </w:tblPrEx>
        <w:trPr>
          <w:gridBefore w:val="1"/>
          <w:wBefore w:w="1456" w:type="dxa"/>
          <w:trHeight w:val="325"/>
        </w:trPr>
        <w:tc>
          <w:tcPr>
            <w:tcW w:w="1330" w:type="dxa"/>
            <w:vAlign w:val="center"/>
          </w:tcPr>
          <w:p w:rsidR="00136148" w:rsidRPr="00D049A9" w:rsidRDefault="00136148" w:rsidP="009F0662">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136148" w:rsidRPr="00D049A9" w:rsidRDefault="00136148" w:rsidP="009F0662">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136148" w:rsidRPr="00D049A9" w:rsidRDefault="00136148" w:rsidP="009F0662">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136148" w:rsidRPr="00D049A9" w:rsidTr="009F0662">
        <w:trPr>
          <w:trHeight w:val="284"/>
        </w:trPr>
        <w:tc>
          <w:tcPr>
            <w:tcW w:w="1456" w:type="dxa"/>
            <w:vMerge w:val="restart"/>
            <w:tcBorders>
              <w:top w:val="nil"/>
              <w:left w:val="nil"/>
              <w:bottom w:val="nil"/>
            </w:tcBorders>
            <w:shd w:val="clear" w:color="auto" w:fill="auto"/>
            <w:vAlign w:val="center"/>
          </w:tcPr>
          <w:p w:rsidR="00136148" w:rsidRPr="00D049A9" w:rsidRDefault="00136148" w:rsidP="009F0662">
            <w:pPr>
              <w:jc w:val="center"/>
              <w:rPr>
                <w:rFonts w:ascii="Bookman Old Style" w:hAnsi="Bookman Old Style" w:cs="Times New Roman"/>
                <w:color w:val="000000" w:themeColor="text1"/>
                <w:sz w:val="20"/>
                <w:szCs w:val="20"/>
              </w:rPr>
            </w:pPr>
          </w:p>
        </w:tc>
        <w:tc>
          <w:tcPr>
            <w:tcW w:w="1330" w:type="dxa"/>
            <w:vMerge w:val="restart"/>
            <w:vAlign w:val="center"/>
          </w:tcPr>
          <w:p w:rsidR="00136148" w:rsidRPr="00D049A9" w:rsidRDefault="00136148" w:rsidP="009F0662">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25,00%</w:t>
            </w:r>
          </w:p>
        </w:tc>
        <w:tc>
          <w:tcPr>
            <w:tcW w:w="1292" w:type="dxa"/>
            <w:vAlign w:val="center"/>
          </w:tcPr>
          <w:p w:rsidR="00136148" w:rsidRPr="00D049A9" w:rsidRDefault="00136148" w:rsidP="009F0662">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136148" w:rsidRPr="00D049A9" w:rsidRDefault="00136148" w:rsidP="009F0662">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00,00%</w:t>
            </w:r>
          </w:p>
        </w:tc>
        <w:tc>
          <w:tcPr>
            <w:tcW w:w="4649" w:type="dxa"/>
            <w:vAlign w:val="center"/>
          </w:tcPr>
          <w:p w:rsidR="00136148" w:rsidRPr="00D049A9" w:rsidRDefault="00136148" w:rsidP="009F0662">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136148" w:rsidRPr="00D049A9" w:rsidTr="009F0662">
        <w:trPr>
          <w:trHeight w:val="284"/>
        </w:trPr>
        <w:tc>
          <w:tcPr>
            <w:tcW w:w="1456" w:type="dxa"/>
            <w:vMerge/>
            <w:tcBorders>
              <w:left w:val="nil"/>
              <w:bottom w:val="nil"/>
            </w:tcBorders>
            <w:shd w:val="clear" w:color="auto" w:fill="auto"/>
            <w:vAlign w:val="center"/>
          </w:tcPr>
          <w:p w:rsidR="00136148" w:rsidRPr="00D049A9" w:rsidRDefault="00136148" w:rsidP="009F0662">
            <w:pPr>
              <w:jc w:val="center"/>
              <w:rPr>
                <w:rFonts w:ascii="Bookman Old Style" w:hAnsi="Bookman Old Style" w:cs="Times New Roman"/>
                <w:color w:val="000000" w:themeColor="text1"/>
                <w:sz w:val="20"/>
                <w:szCs w:val="20"/>
              </w:rPr>
            </w:pPr>
          </w:p>
        </w:tc>
        <w:tc>
          <w:tcPr>
            <w:tcW w:w="1330" w:type="dxa"/>
            <w:vMerge/>
            <w:vAlign w:val="center"/>
          </w:tcPr>
          <w:p w:rsidR="00136148" w:rsidRPr="00D049A9" w:rsidRDefault="00136148" w:rsidP="009F0662">
            <w:pPr>
              <w:jc w:val="center"/>
              <w:rPr>
                <w:rFonts w:ascii="Bookman Old Style" w:hAnsi="Bookman Old Style" w:cs="Times New Roman"/>
                <w:b/>
                <w:color w:val="000000" w:themeColor="text1"/>
                <w:sz w:val="20"/>
                <w:szCs w:val="20"/>
              </w:rPr>
            </w:pPr>
          </w:p>
        </w:tc>
        <w:tc>
          <w:tcPr>
            <w:tcW w:w="1292" w:type="dxa"/>
            <w:vAlign w:val="center"/>
          </w:tcPr>
          <w:p w:rsidR="00136148" w:rsidRPr="00D049A9" w:rsidRDefault="00136148" w:rsidP="009F0662">
            <w:pPr>
              <w:jc w:val="center"/>
              <w:rPr>
                <w:rFonts w:ascii="Bookman Old Style" w:hAnsi="Bookman Old Style" w:cs="Times New Roman"/>
                <w:color w:val="000000" w:themeColor="text1"/>
                <w:sz w:val="20"/>
                <w:szCs w:val="20"/>
              </w:rPr>
            </w:pPr>
          </w:p>
        </w:tc>
        <w:tc>
          <w:tcPr>
            <w:tcW w:w="1699" w:type="dxa"/>
            <w:vAlign w:val="center"/>
          </w:tcPr>
          <w:p w:rsidR="00136148" w:rsidRPr="00D049A9" w:rsidRDefault="00136148" w:rsidP="009F0662">
            <w:pPr>
              <w:jc w:val="center"/>
              <w:rPr>
                <w:rFonts w:ascii="Bookman Old Style" w:hAnsi="Bookman Old Style" w:cs="Times New Roman"/>
                <w:b/>
                <w:color w:val="000000" w:themeColor="text1"/>
                <w:sz w:val="20"/>
                <w:szCs w:val="20"/>
              </w:rPr>
            </w:pPr>
          </w:p>
        </w:tc>
        <w:tc>
          <w:tcPr>
            <w:tcW w:w="4649" w:type="dxa"/>
            <w:vAlign w:val="center"/>
          </w:tcPr>
          <w:p w:rsidR="00136148" w:rsidRPr="00D049A9" w:rsidRDefault="00136148" w:rsidP="009F0662">
            <w:pPr>
              <w:jc w:val="both"/>
              <w:rPr>
                <w:rFonts w:ascii="Bookman Old Style" w:hAnsi="Bookman Old Style" w:cs="Times New Roman"/>
                <w:color w:val="000000" w:themeColor="text1"/>
                <w:sz w:val="20"/>
                <w:szCs w:val="20"/>
              </w:rPr>
            </w:pPr>
            <w:r>
              <w:t>**acesso em dezembro de 2016.</w:t>
            </w:r>
          </w:p>
        </w:tc>
      </w:tr>
    </w:tbl>
    <w:p w:rsidR="00704102" w:rsidRDefault="00704102" w:rsidP="00136148">
      <w:pPr>
        <w:jc w:val="both"/>
        <w:rPr>
          <w:rFonts w:ascii="Bookman Old Style" w:hAnsi="Bookman Old Style" w:cs="Times New Roman"/>
          <w:color w:val="000000" w:themeColor="text1"/>
          <w:sz w:val="24"/>
          <w:szCs w:val="24"/>
        </w:rPr>
      </w:pPr>
    </w:p>
    <w:p w:rsidR="00D81FEF" w:rsidRDefault="00D81FEF" w:rsidP="00136148">
      <w:pPr>
        <w:jc w:val="both"/>
        <w:rPr>
          <w:rFonts w:ascii="Bookman Old Style" w:hAnsi="Bookman Old Style" w:cs="Times New Roman"/>
          <w:color w:val="000000" w:themeColor="text1"/>
          <w:sz w:val="24"/>
          <w:szCs w:val="24"/>
        </w:rPr>
      </w:pPr>
    </w:p>
    <w:p w:rsidR="00136148" w:rsidRPr="00136148" w:rsidRDefault="00136148" w:rsidP="00136148">
      <w:pPr>
        <w:jc w:val="both"/>
        <w:rPr>
          <w:rFonts w:ascii="Bookman Old Style" w:hAnsi="Bookman Old Style" w:cs="Times New Roman"/>
          <w:b/>
          <w:color w:val="000000" w:themeColor="text1"/>
          <w:sz w:val="24"/>
          <w:szCs w:val="24"/>
        </w:rPr>
      </w:pPr>
      <w:r w:rsidRPr="00136148">
        <w:rPr>
          <w:rFonts w:ascii="Bookman Old Style" w:hAnsi="Bookman Old Style" w:cs="Times New Roman"/>
          <w:b/>
          <w:color w:val="000000" w:themeColor="text1"/>
          <w:sz w:val="24"/>
          <w:szCs w:val="24"/>
        </w:rPr>
        <w:lastRenderedPageBreak/>
        <w:t>Contextualização da Meta:</w:t>
      </w:r>
    </w:p>
    <w:p w:rsidR="00136148" w:rsidRPr="00136148" w:rsidRDefault="00136148" w:rsidP="00136148">
      <w:pPr>
        <w:ind w:firstLine="567"/>
        <w:jc w:val="both"/>
        <w:rPr>
          <w:rFonts w:ascii="Bookman Old Style" w:hAnsi="Bookman Old Style" w:cs="Times New Roman"/>
          <w:color w:val="000000" w:themeColor="text1"/>
          <w:sz w:val="24"/>
          <w:szCs w:val="24"/>
        </w:rPr>
      </w:pPr>
      <w:r w:rsidRPr="00136148">
        <w:rPr>
          <w:rFonts w:ascii="Bookman Old Style" w:hAnsi="Bookman Old Style" w:cs="Times New Roman"/>
          <w:color w:val="000000" w:themeColor="text1"/>
          <w:sz w:val="24"/>
          <w:szCs w:val="24"/>
        </w:rPr>
        <w:t xml:space="preserve">A meta de número 10 do Plano Municipal de Educação objeta oferecer no mínimo de 25% das matrículas da educação de jovens e adultos na forma integrada à educação profissional, no ensino fundamental e médio. A educação profissional é de fundamental importância para a preparação dos matriculados na modalidade jovens e adultos, criando a real possibilidade de alçá-los em melhores postos no mercado de trabalho. </w:t>
      </w:r>
    </w:p>
    <w:p w:rsidR="00136148" w:rsidRPr="00B3094D" w:rsidRDefault="00136148" w:rsidP="00136148">
      <w:pPr>
        <w:ind w:firstLine="567"/>
        <w:jc w:val="both"/>
        <w:rPr>
          <w:rFonts w:ascii="Bookman Old Style" w:hAnsi="Bookman Old Style" w:cs="Times New Roman"/>
          <w:color w:val="000000" w:themeColor="text1"/>
          <w:sz w:val="24"/>
          <w:szCs w:val="24"/>
        </w:rPr>
      </w:pPr>
      <w:r w:rsidRPr="00136148">
        <w:rPr>
          <w:rFonts w:ascii="Bookman Old Style" w:hAnsi="Bookman Old Style" w:cs="Times New Roman"/>
          <w:color w:val="000000" w:themeColor="text1"/>
          <w:sz w:val="24"/>
          <w:szCs w:val="24"/>
        </w:rPr>
        <w:t xml:space="preserve">As estratégias previstas para a meta ensejam corroborá-la no sentido de ser sustentáculo para que possamos cumpri-la. A natureza conceitual das estratégias são ações propostas com vistas ao atendimento voltado aos jovens e adultos. Objetivam realizar levantamento no âmbito do Município das demandas existentes; apoiar e fomentar programas voltados à educação de jovens e adultos. Implantar o EJA (Educação de Jovens e Adultos), nas escolas estadual e municipal, garantindo </w:t>
      </w:r>
      <w:proofErr w:type="gramStart"/>
      <w:r w:rsidRPr="00136148">
        <w:rPr>
          <w:rFonts w:ascii="Bookman Old Style" w:hAnsi="Bookman Old Style" w:cs="Times New Roman"/>
          <w:color w:val="000000" w:themeColor="text1"/>
          <w:sz w:val="24"/>
          <w:szCs w:val="24"/>
        </w:rPr>
        <w:t>a permanência em sala de aula dos freqüentadores, promover em um segundo momento a expansão</w:t>
      </w:r>
      <w:proofErr w:type="gramEnd"/>
      <w:r w:rsidRPr="00136148">
        <w:rPr>
          <w:rFonts w:ascii="Bookman Old Style" w:hAnsi="Bookman Old Style" w:cs="Times New Roman"/>
          <w:color w:val="000000" w:themeColor="text1"/>
          <w:sz w:val="24"/>
          <w:szCs w:val="24"/>
        </w:rPr>
        <w:t xml:space="preserve"> das matrículas para esta modalidade. Investir na formação de docentes voltadas à educação de jovens e adultos, aderir a programas nacionais de reestruturação de equipamentos para a melhoria e expansão da melhoria da rede física nas escolas que atuam na educação de jovens e adultos. Apoiar os programas de educação de jovens e adultos na população do município, voltada </w:t>
      </w:r>
      <w:r w:rsidR="00B469BC" w:rsidRPr="00136148">
        <w:rPr>
          <w:rFonts w:ascii="Bookman Old Style" w:hAnsi="Bookman Old Style" w:cs="Times New Roman"/>
          <w:color w:val="000000" w:themeColor="text1"/>
          <w:sz w:val="24"/>
          <w:szCs w:val="24"/>
        </w:rPr>
        <w:t>à</w:t>
      </w:r>
      <w:r w:rsidRPr="00136148">
        <w:rPr>
          <w:rFonts w:ascii="Bookman Old Style" w:hAnsi="Bookman Old Style" w:cs="Times New Roman"/>
          <w:color w:val="000000" w:themeColor="text1"/>
          <w:sz w:val="24"/>
          <w:szCs w:val="24"/>
        </w:rPr>
        <w:t xml:space="preserve"> qualificação profissional aos que não concluíram o ensino fundamental e médio.  </w:t>
      </w:r>
      <w:r w:rsidR="00B469BC" w:rsidRPr="00B469BC">
        <w:rPr>
          <w:rFonts w:ascii="Bookman Old Style" w:hAnsi="Bookman Old Style" w:cs="Times New Roman"/>
          <w:color w:val="000000" w:themeColor="text1"/>
          <w:sz w:val="24"/>
          <w:szCs w:val="24"/>
        </w:rPr>
        <w:t>Os dados para o monitoramento desta meta foram extraídos do PNE em Movimento (Censo da Educação Básica - 2014), e serviram como embasamento para realizarmos a elaboração do relatório. O indicador 10 A desta meta expressa o percentual de matrículas de Educação de Jovens e Adultos na forma integrada à Educação Profissional para o Município de Pau</w:t>
      </w:r>
      <w:r w:rsidR="00B469BC">
        <w:rPr>
          <w:rFonts w:ascii="Bookman Old Style" w:hAnsi="Bookman Old Style" w:cs="Times New Roman"/>
          <w:color w:val="000000" w:themeColor="text1"/>
          <w:sz w:val="24"/>
          <w:szCs w:val="24"/>
        </w:rPr>
        <w:t>lo Bento.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B469BC" w:rsidRPr="00540B0B" w:rsidTr="009F0662">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B469BC" w:rsidRPr="00540B0B" w:rsidRDefault="00B469BC" w:rsidP="009F0662">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B469BC" w:rsidRPr="00540B0B" w:rsidRDefault="00B469BC" w:rsidP="009F066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B469BC" w:rsidRPr="00540B0B" w:rsidRDefault="00B469BC" w:rsidP="009F066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B469BC" w:rsidRPr="00540B0B" w:rsidRDefault="00B469BC" w:rsidP="009F066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B469BC" w:rsidRDefault="00B469BC" w:rsidP="009F0662">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B469BC" w:rsidRPr="00540B0B" w:rsidRDefault="00B469BC" w:rsidP="009F0662">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Realizar levantamento, no prazo de 01 (um) ano, após a aprovação do Plano Municipal de Educação, de todas as pessoas jovens, adultas e idosas analfabetas no município, com o objetivo de encaminhá-las a EJA ou </w:t>
            </w:r>
            <w:r w:rsidRPr="00B469BC">
              <w:rPr>
                <w:rFonts w:ascii="Calibri" w:eastAsia="Times New Roman" w:hAnsi="Calibri" w:cs="Calibri"/>
                <w:color w:val="000000"/>
                <w:lang w:eastAsia="pt-BR"/>
              </w:rPr>
              <w:lastRenderedPageBreak/>
              <w:t>em programas de alfabetização.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lastRenderedPageBreak/>
              <w:t>Até ano de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lastRenderedPageBreak/>
              <w:t>10.2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 Apoiar programas de educação de jovens e adultos, voltado à conclusão do ensino fundamental e médio à formação profissional inicial, de forma a estimular a conclusão da educação básica.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Em andamento</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 Implantar EJA- Ensino Fundamental, anos iniciais e finais nas escolas da rede municipal e EJA- Ensino Médio, na escola estadual, se houver demanda, possibilitando o acesso e a permanência para conclusão dessa modalidade de ensino aos estudantes.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 Fomentar a expansão das matrículas na educação de jovens e adultos de forma a articular a formação inicial e continuada de trabalhadores e a educação profissional, objetivando a elevação do nível de escolaridade do trabalhador.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Oportunizar e estimular a formação continuada de docentes das redes públicas que atuam na educação de jovens e adultos ou na EJA integrada à educação profissional.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Plano Plurianual: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Default="00B469BC" w:rsidP="00B469BC">
            <w:pPr>
              <w:jc w:val="center"/>
            </w:pPr>
            <w:r w:rsidRPr="00FF6F97">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 Participar, aderir aos programas nacionais de reestruturação e aquisição de equipamentos voltados à expansão e à melhoria da rede física de escolas públicas que atuam na educação de jovens e adultos integrada à educação profissional.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Default="00B469BC" w:rsidP="00B469BC">
            <w:pPr>
              <w:jc w:val="center"/>
            </w:pPr>
            <w:r w:rsidRPr="00FF6F97">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t>10.7</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Institucionalizar em regime de colaboração com a União programa de assistência ao estudante, compreendendo ações de assistência social, de saúde, e de apoio </w:t>
            </w:r>
            <w:proofErr w:type="spellStart"/>
            <w:r w:rsidRPr="00B469BC">
              <w:rPr>
                <w:rFonts w:ascii="Calibri" w:eastAsia="Times New Roman" w:hAnsi="Calibri" w:cs="Calibri"/>
                <w:color w:val="000000"/>
                <w:lang w:eastAsia="pt-BR"/>
              </w:rPr>
              <w:t>psicopedagógico</w:t>
            </w:r>
            <w:proofErr w:type="spellEnd"/>
            <w:r w:rsidRPr="00B469BC">
              <w:rPr>
                <w:rFonts w:ascii="Calibri" w:eastAsia="Times New Roman" w:hAnsi="Calibri" w:cs="Calibri"/>
                <w:color w:val="000000"/>
                <w:lang w:eastAsia="pt-BR"/>
              </w:rPr>
              <w:t xml:space="preserve">, que contribuam </w:t>
            </w:r>
            <w:r w:rsidRPr="00B469BC">
              <w:rPr>
                <w:rFonts w:ascii="Calibri" w:eastAsia="Times New Roman" w:hAnsi="Calibri" w:cs="Calibri"/>
                <w:color w:val="000000"/>
                <w:lang w:eastAsia="pt-BR"/>
              </w:rPr>
              <w:lastRenderedPageBreak/>
              <w:t xml:space="preserve">para garantir o acesso, a permanência, </w:t>
            </w:r>
            <w:proofErr w:type="gramStart"/>
            <w:r w:rsidRPr="00B469BC">
              <w:rPr>
                <w:rFonts w:ascii="Calibri" w:eastAsia="Times New Roman" w:hAnsi="Calibri" w:cs="Calibri"/>
                <w:color w:val="000000"/>
                <w:lang w:eastAsia="pt-BR"/>
              </w:rPr>
              <w:t>à</w:t>
            </w:r>
            <w:proofErr w:type="gramEnd"/>
            <w:r w:rsidRPr="00B469BC">
              <w:rPr>
                <w:rFonts w:ascii="Calibri" w:eastAsia="Times New Roman" w:hAnsi="Calibri" w:cs="Calibri"/>
                <w:color w:val="000000"/>
                <w:lang w:eastAsia="pt-BR"/>
              </w:rPr>
              <w:t xml:space="preserve"> organizar o tempo e o espaço pedagógico adequados às aprendizagem e a conclusão com êxito da educação de jovens e adultos.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lastRenderedPageBreak/>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Default="00B469BC" w:rsidP="00B469BC">
            <w:pPr>
              <w:jc w:val="center"/>
            </w:pPr>
            <w:r w:rsidRPr="00FF6F97">
              <w:rPr>
                <w:rFonts w:ascii="Calibri" w:eastAsia="Times New Roman" w:hAnsi="Calibri" w:cs="Calibri"/>
                <w:color w:val="000000"/>
                <w:lang w:eastAsia="pt-BR"/>
              </w:rPr>
              <w:t>Não realizada</w:t>
            </w:r>
          </w:p>
        </w:tc>
      </w:tr>
      <w:tr w:rsidR="00B469BC" w:rsidRPr="00B469BC" w:rsidTr="00B469BC">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jc w:val="both"/>
              <w:rPr>
                <w:rFonts w:ascii="Calibri" w:eastAsia="Times New Roman" w:hAnsi="Calibri" w:cs="Calibri"/>
                <w:color w:val="000000"/>
                <w:lang w:eastAsia="pt-BR"/>
              </w:rPr>
            </w:pPr>
            <w:r w:rsidRPr="00B469BC">
              <w:rPr>
                <w:rFonts w:ascii="Calibri" w:eastAsia="Times New Roman" w:hAnsi="Calibri" w:cs="Calibri"/>
                <w:color w:val="000000"/>
                <w:lang w:eastAsia="pt-BR"/>
              </w:rPr>
              <w:lastRenderedPageBreak/>
              <w:t>10.8</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 xml:space="preserve">Apoiar programas de educação de jovens e adultos para a população urbana e do campo, com </w:t>
            </w:r>
            <w:proofErr w:type="spellStart"/>
            <w:r w:rsidRPr="00B469BC">
              <w:rPr>
                <w:rFonts w:ascii="Calibri" w:eastAsia="Times New Roman" w:hAnsi="Calibri" w:cs="Calibri"/>
                <w:color w:val="000000"/>
                <w:lang w:eastAsia="pt-BR"/>
              </w:rPr>
              <w:t>qualificaçãoprofissional</w:t>
            </w:r>
            <w:proofErr w:type="spellEnd"/>
            <w:r w:rsidRPr="00B469BC">
              <w:rPr>
                <w:rFonts w:ascii="Calibri" w:eastAsia="Times New Roman" w:hAnsi="Calibri" w:cs="Calibri"/>
                <w:color w:val="000000"/>
                <w:lang w:eastAsia="pt-BR"/>
              </w:rPr>
              <w:t xml:space="preserve"> para os que não concluíram o ensino fundamental e médio na idade certa.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469BC" w:rsidRPr="00B469BC" w:rsidRDefault="00B469BC" w:rsidP="00B469BC">
            <w:pPr>
              <w:spacing w:after="0" w:line="240" w:lineRule="auto"/>
              <w:rPr>
                <w:rFonts w:ascii="Calibri" w:eastAsia="Times New Roman" w:hAnsi="Calibri" w:cs="Calibri"/>
                <w:color w:val="000000"/>
                <w:lang w:eastAsia="pt-BR"/>
              </w:rPr>
            </w:pPr>
            <w:r w:rsidRPr="00B469BC">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469BC" w:rsidRDefault="00B469BC" w:rsidP="00B469BC">
            <w:pPr>
              <w:jc w:val="center"/>
            </w:pPr>
            <w:r w:rsidRPr="00FF6F97">
              <w:rPr>
                <w:rFonts w:ascii="Calibri" w:eastAsia="Times New Roman" w:hAnsi="Calibri" w:cs="Calibri"/>
                <w:color w:val="000000"/>
                <w:lang w:eastAsia="pt-BR"/>
              </w:rPr>
              <w:t>Não realizada</w:t>
            </w:r>
          </w:p>
        </w:tc>
      </w:tr>
    </w:tbl>
    <w:p w:rsidR="00B469BC" w:rsidRDefault="00B469BC" w:rsidP="00B469BC">
      <w:pPr>
        <w:jc w:val="both"/>
        <w:rPr>
          <w:rFonts w:ascii="Bookman Old Style" w:hAnsi="Bookman Old Style" w:cs="Times New Roman"/>
          <w:color w:val="000000" w:themeColor="text1"/>
          <w:sz w:val="24"/>
          <w:szCs w:val="24"/>
        </w:rPr>
      </w:pPr>
    </w:p>
    <w:p w:rsidR="00B469BC" w:rsidRPr="00B469BC" w:rsidRDefault="00B469BC" w:rsidP="00B469BC">
      <w:pPr>
        <w:jc w:val="both"/>
        <w:rPr>
          <w:rFonts w:ascii="Bookman Old Style" w:hAnsi="Bookman Old Style" w:cs="Times New Roman"/>
          <w:b/>
          <w:color w:val="000000" w:themeColor="text1"/>
          <w:sz w:val="24"/>
          <w:szCs w:val="24"/>
        </w:rPr>
      </w:pPr>
      <w:r w:rsidRPr="00B469BC">
        <w:rPr>
          <w:rFonts w:ascii="Bookman Old Style" w:hAnsi="Bookman Old Style" w:cs="Times New Roman"/>
          <w:b/>
          <w:color w:val="000000" w:themeColor="text1"/>
          <w:sz w:val="24"/>
          <w:szCs w:val="24"/>
        </w:rPr>
        <w:t>Conclusão a respeito da Meta:</w:t>
      </w:r>
    </w:p>
    <w:p w:rsidR="00B469BC" w:rsidRPr="00B469BC" w:rsidRDefault="00B469BC" w:rsidP="00B469BC">
      <w:pPr>
        <w:ind w:firstLine="567"/>
        <w:jc w:val="both"/>
        <w:rPr>
          <w:rFonts w:ascii="Bookman Old Style" w:hAnsi="Bookman Old Style" w:cs="Times New Roman"/>
          <w:color w:val="000000" w:themeColor="text1"/>
          <w:sz w:val="24"/>
          <w:szCs w:val="24"/>
        </w:rPr>
      </w:pPr>
      <w:r w:rsidRPr="00B469BC">
        <w:rPr>
          <w:rFonts w:ascii="Bookman Old Style" w:hAnsi="Bookman Old Style" w:cs="Times New Roman"/>
          <w:color w:val="000000" w:themeColor="text1"/>
          <w:sz w:val="24"/>
          <w:szCs w:val="24"/>
        </w:rPr>
        <w:t xml:space="preserve">A formação profissional é de suma importância para a construção do indivíduo enquanto cidadão contribui para a sua inclusão na sociedade, servindo como instrumental para a erradicação da pobreza e independência da pessoa. A educação de jovens e </w:t>
      </w:r>
      <w:proofErr w:type="gramStart"/>
      <w:r w:rsidRPr="00B469BC">
        <w:rPr>
          <w:rFonts w:ascii="Bookman Old Style" w:hAnsi="Bookman Old Style" w:cs="Times New Roman"/>
          <w:color w:val="000000" w:themeColor="text1"/>
          <w:sz w:val="24"/>
          <w:szCs w:val="24"/>
        </w:rPr>
        <w:t>adultos integrada</w:t>
      </w:r>
      <w:proofErr w:type="gramEnd"/>
      <w:r w:rsidRPr="00B469BC">
        <w:rPr>
          <w:rFonts w:ascii="Bookman Old Style" w:hAnsi="Bookman Old Style" w:cs="Times New Roman"/>
          <w:color w:val="000000" w:themeColor="text1"/>
          <w:sz w:val="24"/>
          <w:szCs w:val="24"/>
        </w:rPr>
        <w:t xml:space="preserve"> a educação profissional possibilita o ingresso mais ágil da pessoa ao mercado de trabalho, resgatando a sua dignidade.</w:t>
      </w:r>
    </w:p>
    <w:p w:rsidR="00B469BC" w:rsidRPr="00B469BC" w:rsidRDefault="00B469BC" w:rsidP="00B469BC">
      <w:pPr>
        <w:ind w:firstLine="567"/>
        <w:jc w:val="both"/>
        <w:rPr>
          <w:rFonts w:ascii="Bookman Old Style" w:hAnsi="Bookman Old Style" w:cs="Times New Roman"/>
          <w:color w:val="000000" w:themeColor="text1"/>
          <w:sz w:val="24"/>
          <w:szCs w:val="24"/>
        </w:rPr>
      </w:pPr>
      <w:r w:rsidRPr="00B469BC">
        <w:rPr>
          <w:rFonts w:ascii="Bookman Old Style" w:hAnsi="Bookman Old Style" w:cs="Times New Roman"/>
          <w:color w:val="000000" w:themeColor="text1"/>
          <w:sz w:val="24"/>
          <w:szCs w:val="24"/>
        </w:rPr>
        <w:t>No município de Paulo Bento não temos implantado o EJA (educação de jovens e adultos), entretanto é de fundamental importância termos contemplada esta modalidade, em regime de colaboração com a rede estadual de ensino. Também fomentar a implantação da educação profissional integrada ao EJA, objetivando qualificar o aprendizado dos alunos, para poderem ter condições plenas de angariarem um lugar no mercado de trabalho atual.</w:t>
      </w:r>
    </w:p>
    <w:p w:rsidR="00F76E84" w:rsidRDefault="00F01C84" w:rsidP="00D81FEF">
      <w:pPr>
        <w:pStyle w:val="Ttulo1"/>
        <w:numPr>
          <w:ilvl w:val="0"/>
          <w:numId w:val="24"/>
        </w:numPr>
        <w:rPr>
          <w:rFonts w:ascii="Bookman Old Style" w:hAnsi="Bookman Old Style"/>
          <w:color w:val="auto"/>
        </w:rPr>
      </w:pPr>
      <w:bookmarkStart w:id="14" w:name="_Toc497809480"/>
      <w:r w:rsidRPr="00D81FEF">
        <w:rPr>
          <w:rFonts w:ascii="Bookman Old Style" w:hAnsi="Bookman Old Style"/>
          <w:color w:val="auto"/>
        </w:rPr>
        <w:t>Meta sobre Educação Profissional</w:t>
      </w:r>
      <w:bookmarkEnd w:id="14"/>
    </w:p>
    <w:p w:rsidR="00D81FEF" w:rsidRPr="00D81FEF" w:rsidRDefault="00D81FEF" w:rsidP="00D81FEF"/>
    <w:p w:rsidR="00A158C9" w:rsidRPr="00B3094D" w:rsidRDefault="00A158C9" w:rsidP="009F0662">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9F0662">
        <w:rPr>
          <w:rFonts w:ascii="Bookman Old Style" w:hAnsi="Bookman Old Style" w:cs="Times New Roman"/>
          <w:b/>
          <w:color w:val="000000" w:themeColor="text1"/>
          <w:sz w:val="24"/>
          <w:szCs w:val="24"/>
        </w:rPr>
        <w:t xml:space="preserve"> nº. 11:</w:t>
      </w:r>
      <w:r w:rsidRPr="00B3094D">
        <w:rPr>
          <w:rFonts w:ascii="Bookman Old Style" w:hAnsi="Bookman Old Style" w:cs="Times New Roman"/>
          <w:b/>
          <w:color w:val="000000" w:themeColor="text1"/>
          <w:sz w:val="24"/>
          <w:szCs w:val="24"/>
        </w:rPr>
        <w:t xml:space="preserve"> </w:t>
      </w:r>
      <w:r w:rsidR="009F0662" w:rsidRPr="009F0662">
        <w:rPr>
          <w:rFonts w:ascii="Bookman Old Style" w:hAnsi="Bookman Old Style" w:cs="Times New Roman"/>
          <w:b/>
          <w:color w:val="000000" w:themeColor="text1"/>
          <w:sz w:val="24"/>
          <w:szCs w:val="24"/>
        </w:rPr>
        <w:t>Triplicar as matrículas da educação profissional técnica de nível médio, assegurando a qualidade da oferta e pelo menos 50% da expansão no segmento público.</w:t>
      </w:r>
    </w:p>
    <w:p w:rsidR="00704102" w:rsidRPr="00B3094D"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573077" w:rsidRPr="00D049A9" w:rsidTr="00772616">
        <w:trPr>
          <w:gridBefore w:val="1"/>
          <w:wBefore w:w="1456" w:type="dxa"/>
          <w:trHeight w:val="948"/>
        </w:trPr>
        <w:tc>
          <w:tcPr>
            <w:tcW w:w="1330" w:type="dxa"/>
            <w:vAlign w:val="center"/>
          </w:tcPr>
          <w:p w:rsidR="00573077" w:rsidRPr="00D049A9" w:rsidRDefault="00573077" w:rsidP="00772616">
            <w:pPr>
              <w:rPr>
                <w:rFonts w:ascii="Bookman Old Style" w:hAnsi="Bookman Old Style" w:cs="Times New Roman"/>
                <w:color w:val="000000" w:themeColor="text1"/>
                <w:sz w:val="20"/>
                <w:szCs w:val="20"/>
              </w:rPr>
            </w:pPr>
          </w:p>
          <w:p w:rsidR="00573077"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573077" w:rsidRPr="00D049A9" w:rsidRDefault="00573077" w:rsidP="00772616">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11 A</w:t>
            </w:r>
          </w:p>
          <w:p w:rsidR="00573077" w:rsidRPr="00D049A9" w:rsidRDefault="00573077" w:rsidP="00772616">
            <w:pPr>
              <w:jc w:val="center"/>
              <w:rPr>
                <w:rFonts w:ascii="Bookman Old Style" w:hAnsi="Bookman Old Style" w:cs="Times New Roman"/>
                <w:color w:val="000000" w:themeColor="text1"/>
                <w:sz w:val="20"/>
                <w:szCs w:val="20"/>
              </w:rPr>
            </w:pPr>
          </w:p>
        </w:tc>
        <w:tc>
          <w:tcPr>
            <w:tcW w:w="7640" w:type="dxa"/>
            <w:gridSpan w:val="3"/>
            <w:vAlign w:val="center"/>
          </w:tcPr>
          <w:p w:rsidR="00573077" w:rsidRPr="00D049A9" w:rsidRDefault="00573077" w:rsidP="00772616">
            <w:pPr>
              <w:jc w:val="center"/>
              <w:rPr>
                <w:rFonts w:ascii="Bookman Old Style" w:hAnsi="Bookman Old Style" w:cs="Times New Roman"/>
                <w:b/>
                <w:color w:val="000000" w:themeColor="text1"/>
                <w:sz w:val="20"/>
                <w:szCs w:val="20"/>
              </w:rPr>
            </w:pPr>
            <w:proofErr w:type="gramStart"/>
            <w:r w:rsidRPr="00573077">
              <w:rPr>
                <w:rFonts w:ascii="Bookman Old Style" w:hAnsi="Bookman Old Style" w:cs="Times New Roman"/>
                <w:b/>
                <w:color w:val="000000" w:themeColor="text1"/>
                <w:sz w:val="20"/>
                <w:szCs w:val="20"/>
              </w:rPr>
              <w:t>Matrículas em educação profissional</w:t>
            </w:r>
            <w:proofErr w:type="gramEnd"/>
            <w:r w:rsidRPr="00573077">
              <w:rPr>
                <w:rFonts w:ascii="Bookman Old Style" w:hAnsi="Bookman Old Style" w:cs="Times New Roman"/>
                <w:b/>
                <w:color w:val="000000" w:themeColor="text1"/>
                <w:sz w:val="20"/>
                <w:szCs w:val="20"/>
              </w:rPr>
              <w:t xml:space="preserve"> técnica de nível médio: número absoluto.</w:t>
            </w:r>
          </w:p>
        </w:tc>
      </w:tr>
      <w:tr w:rsidR="00573077" w:rsidRPr="00D049A9" w:rsidTr="00772616">
        <w:tblPrEx>
          <w:tblCellMar>
            <w:left w:w="108" w:type="dxa"/>
            <w:right w:w="108" w:type="dxa"/>
          </w:tblCellMar>
          <w:tblLook w:val="04A0"/>
        </w:tblPrEx>
        <w:trPr>
          <w:gridBefore w:val="1"/>
          <w:wBefore w:w="1456" w:type="dxa"/>
          <w:trHeight w:val="325"/>
        </w:trPr>
        <w:tc>
          <w:tcPr>
            <w:tcW w:w="1330"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573077" w:rsidRPr="00D049A9" w:rsidTr="00772616">
        <w:trPr>
          <w:trHeight w:val="284"/>
        </w:trPr>
        <w:tc>
          <w:tcPr>
            <w:tcW w:w="1456" w:type="dxa"/>
            <w:vMerge w:val="restart"/>
            <w:tcBorders>
              <w:top w:val="nil"/>
              <w:left w:val="nil"/>
              <w:bottom w:val="nil"/>
            </w:tcBorders>
            <w:shd w:val="clear" w:color="auto" w:fill="auto"/>
            <w:vAlign w:val="center"/>
          </w:tcPr>
          <w:p w:rsidR="00573077" w:rsidRPr="00D049A9" w:rsidRDefault="00573077" w:rsidP="00772616">
            <w:pPr>
              <w:jc w:val="center"/>
              <w:rPr>
                <w:rFonts w:ascii="Bookman Old Style" w:hAnsi="Bookman Old Style" w:cs="Times New Roman"/>
                <w:color w:val="000000" w:themeColor="text1"/>
                <w:sz w:val="20"/>
                <w:szCs w:val="20"/>
              </w:rPr>
            </w:pPr>
          </w:p>
        </w:tc>
        <w:tc>
          <w:tcPr>
            <w:tcW w:w="1330" w:type="dxa"/>
            <w:vMerge w:val="restart"/>
            <w:vAlign w:val="center"/>
          </w:tcPr>
          <w:p w:rsidR="00573077" w:rsidRPr="00D049A9" w:rsidRDefault="00573077" w:rsidP="00772616">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1292"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p>
        </w:tc>
        <w:tc>
          <w:tcPr>
            <w:tcW w:w="4649" w:type="dxa"/>
            <w:vAlign w:val="center"/>
          </w:tcPr>
          <w:p w:rsidR="00573077" w:rsidRPr="00D049A9" w:rsidRDefault="00573077" w:rsidP="00772616">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Sem Informação</w:t>
            </w:r>
          </w:p>
        </w:tc>
      </w:tr>
      <w:tr w:rsidR="00573077" w:rsidRPr="00D049A9" w:rsidTr="00772616">
        <w:trPr>
          <w:trHeight w:val="284"/>
        </w:trPr>
        <w:tc>
          <w:tcPr>
            <w:tcW w:w="1456" w:type="dxa"/>
            <w:vMerge/>
            <w:tcBorders>
              <w:left w:val="nil"/>
              <w:bottom w:val="nil"/>
            </w:tcBorders>
            <w:shd w:val="clear" w:color="auto" w:fill="auto"/>
            <w:vAlign w:val="center"/>
          </w:tcPr>
          <w:p w:rsidR="00573077" w:rsidRPr="00D049A9" w:rsidRDefault="00573077" w:rsidP="00772616">
            <w:pPr>
              <w:jc w:val="center"/>
              <w:rPr>
                <w:rFonts w:ascii="Bookman Old Style" w:hAnsi="Bookman Old Style" w:cs="Times New Roman"/>
                <w:color w:val="000000" w:themeColor="text1"/>
                <w:sz w:val="20"/>
                <w:szCs w:val="20"/>
              </w:rPr>
            </w:pPr>
          </w:p>
        </w:tc>
        <w:tc>
          <w:tcPr>
            <w:tcW w:w="1330" w:type="dxa"/>
            <w:vMerge/>
            <w:vAlign w:val="center"/>
          </w:tcPr>
          <w:p w:rsidR="00573077" w:rsidRPr="00D049A9" w:rsidRDefault="00573077" w:rsidP="00772616">
            <w:pPr>
              <w:jc w:val="center"/>
              <w:rPr>
                <w:rFonts w:ascii="Bookman Old Style" w:hAnsi="Bookman Old Style" w:cs="Times New Roman"/>
                <w:b/>
                <w:color w:val="000000" w:themeColor="text1"/>
                <w:sz w:val="20"/>
                <w:szCs w:val="20"/>
              </w:rPr>
            </w:pPr>
          </w:p>
        </w:tc>
        <w:tc>
          <w:tcPr>
            <w:tcW w:w="1292"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4649" w:type="dxa"/>
            <w:vAlign w:val="center"/>
          </w:tcPr>
          <w:p w:rsidR="00573077" w:rsidRPr="00D049A9" w:rsidRDefault="00573077" w:rsidP="00772616">
            <w:pPr>
              <w:jc w:val="both"/>
              <w:rPr>
                <w:rFonts w:ascii="Bookman Old Style" w:hAnsi="Bookman Old Style" w:cs="Times New Roman"/>
                <w:color w:val="000000" w:themeColor="text1"/>
                <w:sz w:val="20"/>
                <w:szCs w:val="20"/>
              </w:rPr>
            </w:pPr>
            <w:r>
              <w:t>Fonte: EEEM Cel. Raul Barbosa, em dez. de 2016</w:t>
            </w:r>
          </w:p>
        </w:tc>
      </w:tr>
    </w:tbl>
    <w:p w:rsidR="00704102" w:rsidRPr="00B3094D"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573077" w:rsidRPr="00D049A9" w:rsidTr="00772616">
        <w:trPr>
          <w:gridBefore w:val="1"/>
          <w:wBefore w:w="1456" w:type="dxa"/>
          <w:trHeight w:val="948"/>
        </w:trPr>
        <w:tc>
          <w:tcPr>
            <w:tcW w:w="1330" w:type="dxa"/>
            <w:vAlign w:val="center"/>
          </w:tcPr>
          <w:p w:rsidR="00573077" w:rsidRPr="00D049A9" w:rsidRDefault="00573077" w:rsidP="00772616">
            <w:pPr>
              <w:rPr>
                <w:rFonts w:ascii="Bookman Old Style" w:hAnsi="Bookman Old Style" w:cs="Times New Roman"/>
                <w:color w:val="000000" w:themeColor="text1"/>
                <w:sz w:val="20"/>
                <w:szCs w:val="20"/>
              </w:rPr>
            </w:pPr>
          </w:p>
          <w:p w:rsidR="00573077"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573077" w:rsidRPr="00D049A9" w:rsidRDefault="00573077" w:rsidP="00772616">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11 B</w:t>
            </w:r>
          </w:p>
          <w:p w:rsidR="00573077" w:rsidRPr="00D049A9" w:rsidRDefault="00573077" w:rsidP="00772616">
            <w:pPr>
              <w:jc w:val="center"/>
              <w:rPr>
                <w:rFonts w:ascii="Bookman Old Style" w:hAnsi="Bookman Old Style" w:cs="Times New Roman"/>
                <w:color w:val="000000" w:themeColor="text1"/>
                <w:sz w:val="20"/>
                <w:szCs w:val="20"/>
              </w:rPr>
            </w:pPr>
          </w:p>
        </w:tc>
        <w:tc>
          <w:tcPr>
            <w:tcW w:w="7640" w:type="dxa"/>
            <w:gridSpan w:val="3"/>
            <w:vAlign w:val="center"/>
          </w:tcPr>
          <w:p w:rsidR="00573077" w:rsidRPr="00D049A9" w:rsidRDefault="00573077" w:rsidP="00772616">
            <w:pPr>
              <w:jc w:val="center"/>
              <w:rPr>
                <w:rFonts w:ascii="Bookman Old Style" w:hAnsi="Bookman Old Style" w:cs="Times New Roman"/>
                <w:b/>
                <w:color w:val="000000" w:themeColor="text1"/>
                <w:sz w:val="20"/>
                <w:szCs w:val="20"/>
              </w:rPr>
            </w:pPr>
            <w:r w:rsidRPr="00573077">
              <w:rPr>
                <w:rFonts w:ascii="Bookman Old Style" w:hAnsi="Bookman Old Style" w:cs="Times New Roman"/>
                <w:b/>
                <w:color w:val="000000" w:themeColor="text1"/>
                <w:sz w:val="20"/>
                <w:szCs w:val="20"/>
              </w:rPr>
              <w:t>Número absoluto de matrículas em educação profissional técnica de nível médio na rede pública.</w:t>
            </w:r>
          </w:p>
        </w:tc>
      </w:tr>
      <w:tr w:rsidR="00573077" w:rsidRPr="00D049A9" w:rsidTr="00772616">
        <w:tblPrEx>
          <w:tblCellMar>
            <w:left w:w="108" w:type="dxa"/>
            <w:right w:w="108" w:type="dxa"/>
          </w:tblCellMar>
          <w:tblLook w:val="04A0"/>
        </w:tblPrEx>
        <w:trPr>
          <w:gridBefore w:val="1"/>
          <w:wBefore w:w="1456" w:type="dxa"/>
          <w:trHeight w:val="325"/>
        </w:trPr>
        <w:tc>
          <w:tcPr>
            <w:tcW w:w="1330"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573077" w:rsidRPr="00D049A9" w:rsidTr="00772616">
        <w:trPr>
          <w:trHeight w:val="284"/>
        </w:trPr>
        <w:tc>
          <w:tcPr>
            <w:tcW w:w="1456" w:type="dxa"/>
            <w:vMerge w:val="restart"/>
            <w:tcBorders>
              <w:top w:val="nil"/>
              <w:left w:val="nil"/>
              <w:bottom w:val="nil"/>
            </w:tcBorders>
            <w:shd w:val="clear" w:color="auto" w:fill="auto"/>
            <w:vAlign w:val="center"/>
          </w:tcPr>
          <w:p w:rsidR="00573077" w:rsidRPr="00D049A9" w:rsidRDefault="00573077" w:rsidP="00772616">
            <w:pPr>
              <w:jc w:val="center"/>
              <w:rPr>
                <w:rFonts w:ascii="Bookman Old Style" w:hAnsi="Bookman Old Style" w:cs="Times New Roman"/>
                <w:color w:val="000000" w:themeColor="text1"/>
                <w:sz w:val="20"/>
                <w:szCs w:val="20"/>
              </w:rPr>
            </w:pPr>
          </w:p>
        </w:tc>
        <w:tc>
          <w:tcPr>
            <w:tcW w:w="1330" w:type="dxa"/>
            <w:vMerge w:val="restart"/>
            <w:vAlign w:val="center"/>
          </w:tcPr>
          <w:p w:rsidR="00573077" w:rsidRPr="00D049A9" w:rsidRDefault="00573077" w:rsidP="00772616">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1292"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p>
        </w:tc>
        <w:tc>
          <w:tcPr>
            <w:tcW w:w="4649" w:type="dxa"/>
            <w:vAlign w:val="center"/>
          </w:tcPr>
          <w:p w:rsidR="00573077" w:rsidRPr="00D049A9" w:rsidRDefault="00573077" w:rsidP="00772616">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Sem Informação</w:t>
            </w:r>
          </w:p>
        </w:tc>
      </w:tr>
      <w:tr w:rsidR="00573077" w:rsidRPr="00D049A9" w:rsidTr="00772616">
        <w:trPr>
          <w:trHeight w:val="284"/>
        </w:trPr>
        <w:tc>
          <w:tcPr>
            <w:tcW w:w="1456" w:type="dxa"/>
            <w:vMerge/>
            <w:tcBorders>
              <w:left w:val="nil"/>
              <w:bottom w:val="nil"/>
            </w:tcBorders>
            <w:shd w:val="clear" w:color="auto" w:fill="auto"/>
            <w:vAlign w:val="center"/>
          </w:tcPr>
          <w:p w:rsidR="00573077" w:rsidRPr="00D049A9" w:rsidRDefault="00573077" w:rsidP="00772616">
            <w:pPr>
              <w:jc w:val="center"/>
              <w:rPr>
                <w:rFonts w:ascii="Bookman Old Style" w:hAnsi="Bookman Old Style" w:cs="Times New Roman"/>
                <w:color w:val="000000" w:themeColor="text1"/>
                <w:sz w:val="20"/>
                <w:szCs w:val="20"/>
              </w:rPr>
            </w:pPr>
          </w:p>
        </w:tc>
        <w:tc>
          <w:tcPr>
            <w:tcW w:w="1330" w:type="dxa"/>
            <w:vMerge/>
            <w:vAlign w:val="center"/>
          </w:tcPr>
          <w:p w:rsidR="00573077" w:rsidRPr="00D049A9" w:rsidRDefault="00573077" w:rsidP="00772616">
            <w:pPr>
              <w:jc w:val="center"/>
              <w:rPr>
                <w:rFonts w:ascii="Bookman Old Style" w:hAnsi="Bookman Old Style" w:cs="Times New Roman"/>
                <w:b/>
                <w:color w:val="000000" w:themeColor="text1"/>
                <w:sz w:val="20"/>
                <w:szCs w:val="20"/>
              </w:rPr>
            </w:pPr>
          </w:p>
        </w:tc>
        <w:tc>
          <w:tcPr>
            <w:tcW w:w="1292" w:type="dxa"/>
            <w:vAlign w:val="center"/>
          </w:tcPr>
          <w:p w:rsidR="00573077" w:rsidRPr="00D049A9" w:rsidRDefault="00573077" w:rsidP="00772616">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573077" w:rsidRPr="00D049A9" w:rsidRDefault="00573077" w:rsidP="00772616">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w:t>
            </w:r>
          </w:p>
        </w:tc>
        <w:tc>
          <w:tcPr>
            <w:tcW w:w="4649" w:type="dxa"/>
            <w:vAlign w:val="center"/>
          </w:tcPr>
          <w:p w:rsidR="00573077" w:rsidRPr="00D049A9" w:rsidRDefault="00573077" w:rsidP="00772616">
            <w:pPr>
              <w:jc w:val="both"/>
              <w:rPr>
                <w:rFonts w:ascii="Bookman Old Style" w:hAnsi="Bookman Old Style" w:cs="Times New Roman"/>
                <w:color w:val="000000" w:themeColor="text1"/>
                <w:sz w:val="20"/>
                <w:szCs w:val="20"/>
              </w:rPr>
            </w:pPr>
            <w:r>
              <w:t>Fonte: EEEM Cel. Raul Barbosa, em dez. de 2016</w:t>
            </w:r>
          </w:p>
        </w:tc>
      </w:tr>
    </w:tbl>
    <w:p w:rsidR="00704102" w:rsidRDefault="00704102" w:rsidP="002E00DD">
      <w:pPr>
        <w:jc w:val="both"/>
        <w:rPr>
          <w:rFonts w:ascii="Bookman Old Style" w:hAnsi="Bookman Old Style" w:cs="Times New Roman"/>
          <w:color w:val="000000" w:themeColor="text1"/>
          <w:sz w:val="24"/>
          <w:szCs w:val="24"/>
        </w:rPr>
      </w:pPr>
    </w:p>
    <w:p w:rsidR="00573077" w:rsidRPr="00573077" w:rsidRDefault="00573077" w:rsidP="00573077">
      <w:pPr>
        <w:jc w:val="both"/>
        <w:rPr>
          <w:rFonts w:ascii="Bookman Old Style" w:hAnsi="Bookman Old Style" w:cs="Times New Roman"/>
          <w:b/>
          <w:color w:val="000000" w:themeColor="text1"/>
          <w:sz w:val="24"/>
          <w:szCs w:val="24"/>
        </w:rPr>
      </w:pPr>
      <w:r w:rsidRPr="00573077">
        <w:rPr>
          <w:rFonts w:ascii="Bookman Old Style" w:hAnsi="Bookman Old Style" w:cs="Times New Roman"/>
          <w:b/>
          <w:color w:val="000000" w:themeColor="text1"/>
          <w:sz w:val="24"/>
          <w:szCs w:val="24"/>
        </w:rPr>
        <w:t>Contextualização da Meta:</w:t>
      </w:r>
    </w:p>
    <w:p w:rsidR="00573077" w:rsidRPr="00573077" w:rsidRDefault="00573077" w:rsidP="00573077">
      <w:pPr>
        <w:ind w:firstLine="567"/>
        <w:jc w:val="both"/>
        <w:rPr>
          <w:rFonts w:ascii="Bookman Old Style" w:hAnsi="Bookman Old Style" w:cs="Times New Roman"/>
          <w:color w:val="000000" w:themeColor="text1"/>
          <w:sz w:val="24"/>
          <w:szCs w:val="24"/>
        </w:rPr>
      </w:pPr>
      <w:r w:rsidRPr="00573077">
        <w:rPr>
          <w:rFonts w:ascii="Bookman Old Style" w:hAnsi="Bookman Old Style" w:cs="Times New Roman"/>
          <w:color w:val="000000" w:themeColor="text1"/>
          <w:sz w:val="24"/>
          <w:szCs w:val="24"/>
        </w:rPr>
        <w:t xml:space="preserve">A meta de número 11 do Plano Municipal de Educação visa triplicar as matrículas da educação profissional no nível médio, com vistas a assegurar a qualidade da oferta. A educação profissional integrada ao ensino médio possibilita ao estudante ingressar de uma forma mias rápida no mercado de trabalho, pois terá condições de ao concluir o ensino médio ter praticamente uma profissão. Isto impactará de forma profunda na economia do Município, pois terá mão-de-obra qualificada para a indústria e empresas locais, não necessitando ir buscar nos municípios </w:t>
      </w:r>
      <w:proofErr w:type="spellStart"/>
      <w:r w:rsidRPr="00573077">
        <w:rPr>
          <w:rFonts w:ascii="Bookman Old Style" w:hAnsi="Bookman Old Style" w:cs="Times New Roman"/>
          <w:color w:val="000000" w:themeColor="text1"/>
          <w:sz w:val="24"/>
          <w:szCs w:val="24"/>
        </w:rPr>
        <w:t>lindeiros</w:t>
      </w:r>
      <w:proofErr w:type="spellEnd"/>
      <w:r w:rsidRPr="00573077">
        <w:rPr>
          <w:rFonts w:ascii="Bookman Old Style" w:hAnsi="Bookman Old Style" w:cs="Times New Roman"/>
          <w:color w:val="000000" w:themeColor="text1"/>
          <w:sz w:val="24"/>
          <w:szCs w:val="24"/>
        </w:rPr>
        <w:t xml:space="preserve">. A qualificação na educação deve ser constante, tanto na formação do docente quanto na formação do aluno, e o ensino médio tendo a possibilidade de ofertar além das matérias clássicas e obrigatórias, </w:t>
      </w:r>
      <w:proofErr w:type="gramStart"/>
      <w:r w:rsidRPr="00573077">
        <w:rPr>
          <w:rFonts w:ascii="Bookman Old Style" w:hAnsi="Bookman Old Style" w:cs="Times New Roman"/>
          <w:color w:val="000000" w:themeColor="text1"/>
          <w:sz w:val="24"/>
          <w:szCs w:val="24"/>
        </w:rPr>
        <w:t>ter</w:t>
      </w:r>
      <w:proofErr w:type="gramEnd"/>
      <w:r w:rsidRPr="00573077">
        <w:rPr>
          <w:rFonts w:ascii="Bookman Old Style" w:hAnsi="Bookman Old Style" w:cs="Times New Roman"/>
          <w:color w:val="000000" w:themeColor="text1"/>
          <w:sz w:val="24"/>
          <w:szCs w:val="24"/>
        </w:rPr>
        <w:t xml:space="preserve"> formação profissional é sem dúvida nenhuma um acréscimo qualificativo na educação.</w:t>
      </w:r>
    </w:p>
    <w:p w:rsidR="00573077" w:rsidRDefault="00573077" w:rsidP="00573077">
      <w:pPr>
        <w:ind w:firstLine="567"/>
        <w:jc w:val="both"/>
        <w:rPr>
          <w:rFonts w:ascii="Bookman Old Style" w:hAnsi="Bookman Old Style" w:cs="Times New Roman"/>
          <w:color w:val="000000" w:themeColor="text1"/>
          <w:sz w:val="24"/>
          <w:szCs w:val="24"/>
        </w:rPr>
      </w:pPr>
      <w:proofErr w:type="gramStart"/>
      <w:r w:rsidRPr="00573077">
        <w:rPr>
          <w:rFonts w:ascii="Bookman Old Style" w:hAnsi="Bookman Old Style" w:cs="Times New Roman"/>
          <w:color w:val="000000" w:themeColor="text1"/>
          <w:sz w:val="24"/>
          <w:szCs w:val="24"/>
        </w:rPr>
        <w:t>As estratégias propostas para a meta tem</w:t>
      </w:r>
      <w:proofErr w:type="gramEnd"/>
      <w:r w:rsidRPr="00573077">
        <w:rPr>
          <w:rFonts w:ascii="Bookman Old Style" w:hAnsi="Bookman Old Style" w:cs="Times New Roman"/>
          <w:color w:val="000000" w:themeColor="text1"/>
          <w:sz w:val="24"/>
          <w:szCs w:val="24"/>
        </w:rPr>
        <w:t xml:space="preserve"> por objetivo fomentar a expansão da oferta da educação nas escolas públicas, buscar a assistência </w:t>
      </w:r>
      <w:r w:rsidRPr="00573077">
        <w:rPr>
          <w:rFonts w:ascii="Bookman Old Style" w:hAnsi="Bookman Old Style" w:cs="Times New Roman"/>
          <w:color w:val="000000" w:themeColor="text1"/>
          <w:sz w:val="24"/>
          <w:szCs w:val="24"/>
        </w:rPr>
        <w:lastRenderedPageBreak/>
        <w:t xml:space="preserve">técnico/pedagógica junto a união ou estado para investir em programas assistenciais ao estudante. Promover a inclusão de deficientes, portadores de transtornos globais e com alta habilidade no ensino médio profissional e por final apoiar e implantar programa avaliativo nas escolas públicas. </w:t>
      </w:r>
    </w:p>
    <w:p w:rsidR="00573077" w:rsidRPr="00573077" w:rsidRDefault="00573077" w:rsidP="00573077">
      <w:pPr>
        <w:ind w:firstLine="567"/>
        <w:jc w:val="both"/>
        <w:rPr>
          <w:rFonts w:ascii="Bookman Old Style" w:hAnsi="Bookman Old Style" w:cs="Times New Roman"/>
          <w:color w:val="000000" w:themeColor="text1"/>
          <w:sz w:val="24"/>
          <w:szCs w:val="24"/>
        </w:rPr>
      </w:pPr>
      <w:r w:rsidRPr="00573077">
        <w:rPr>
          <w:rFonts w:ascii="Bookman Old Style" w:hAnsi="Bookman Old Style" w:cs="Times New Roman"/>
          <w:color w:val="000000" w:themeColor="text1"/>
          <w:sz w:val="24"/>
          <w:szCs w:val="24"/>
        </w:rPr>
        <w:t xml:space="preserve">A as matrículas em educação profissional técnica de nível médio: número absoluto. O resultado alcançado no período é igualitário ao pactuado na meta em números absolutos, há então a necessidade de </w:t>
      </w:r>
      <w:proofErr w:type="gramStart"/>
      <w:r w:rsidRPr="00573077">
        <w:rPr>
          <w:rFonts w:ascii="Bookman Old Style" w:hAnsi="Bookman Old Style" w:cs="Times New Roman"/>
          <w:color w:val="000000" w:themeColor="text1"/>
          <w:sz w:val="24"/>
          <w:szCs w:val="24"/>
        </w:rPr>
        <w:t>manter-se</w:t>
      </w:r>
      <w:proofErr w:type="gramEnd"/>
      <w:r w:rsidRPr="00573077">
        <w:rPr>
          <w:rFonts w:ascii="Bookman Old Style" w:hAnsi="Bookman Old Style" w:cs="Times New Roman"/>
          <w:color w:val="000000" w:themeColor="text1"/>
          <w:sz w:val="24"/>
          <w:szCs w:val="24"/>
        </w:rPr>
        <w:t xml:space="preserve"> estes números positivos e buscar de forma qualitativa ampliar. O indicador 11 B, número absoluto de matrículas em educação profissional técnica de nível médio na rede pública. Temos o número alcançado no período igual ao pactuado para a meta. Entretanto há de se atentar para o exponencial aumento de disponibilidade de matrículas para esta modalidade de ensino.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242957" w:rsidRPr="00540B0B" w:rsidTr="00772616">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242957" w:rsidRPr="00540B0B" w:rsidRDefault="00242957" w:rsidP="00772616">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242957" w:rsidRPr="00540B0B" w:rsidRDefault="00242957" w:rsidP="00772616">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242957" w:rsidRPr="00540B0B" w:rsidRDefault="00242957" w:rsidP="00772616">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242957" w:rsidRPr="00540B0B" w:rsidRDefault="00242957" w:rsidP="00772616">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242957" w:rsidRDefault="00242957" w:rsidP="00772616">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242957" w:rsidRPr="00540B0B" w:rsidRDefault="00242957" w:rsidP="007726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242957" w:rsidRPr="00242957" w:rsidTr="0024295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both"/>
              <w:rPr>
                <w:rFonts w:ascii="Calibri" w:eastAsia="Times New Roman" w:hAnsi="Calibri" w:cs="Calibri"/>
                <w:color w:val="000000"/>
                <w:lang w:eastAsia="pt-BR"/>
              </w:rPr>
            </w:pPr>
            <w:r w:rsidRPr="00242957">
              <w:rPr>
                <w:rFonts w:ascii="Calibri" w:eastAsia="Times New Roman" w:hAnsi="Calibri" w:cs="Calibri"/>
                <w:color w:val="000000"/>
                <w:lang w:eastAsia="pt-BR"/>
              </w:rPr>
              <w:t>11.1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 xml:space="preserve"> Fomentar a expansão da oferta de educação de nível médio nas redes públicas estaduais de ensino.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242957" w:rsidRPr="00242957" w:rsidTr="0024295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both"/>
              <w:rPr>
                <w:rFonts w:ascii="Calibri" w:eastAsia="Times New Roman" w:hAnsi="Calibri" w:cs="Calibri"/>
                <w:color w:val="000000"/>
                <w:lang w:eastAsia="pt-BR"/>
              </w:rPr>
            </w:pPr>
            <w:r w:rsidRPr="00242957">
              <w:rPr>
                <w:rFonts w:ascii="Calibri" w:eastAsia="Times New Roman" w:hAnsi="Calibri" w:cs="Calibri"/>
                <w:color w:val="000000"/>
                <w:lang w:eastAsia="pt-BR"/>
              </w:rPr>
              <w:t>11.2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Buscar assistência técnica e financeira da união</w:t>
            </w:r>
            <w:proofErr w:type="gramStart"/>
            <w:r w:rsidRPr="00242957">
              <w:rPr>
                <w:rFonts w:ascii="Calibri" w:eastAsia="Times New Roman" w:hAnsi="Calibri" w:cs="Calibri"/>
                <w:color w:val="000000"/>
                <w:lang w:eastAsia="pt-BR"/>
              </w:rPr>
              <w:t xml:space="preserve">  </w:t>
            </w:r>
            <w:proofErr w:type="gramEnd"/>
            <w:r w:rsidRPr="00242957">
              <w:rPr>
                <w:rFonts w:ascii="Calibri" w:eastAsia="Times New Roman" w:hAnsi="Calibri" w:cs="Calibri"/>
                <w:color w:val="000000"/>
                <w:lang w:eastAsia="pt-BR"/>
              </w:rPr>
              <w:t>para investir em programas de assistência estudantil, como também em mecanismos de mobilidade, visando  garantir as condições necessárias à permanência dos estudantes e à conclusão dos cursos  de nível médio.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242957" w:rsidRPr="00242957" w:rsidTr="0024295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both"/>
              <w:rPr>
                <w:rFonts w:ascii="Calibri" w:eastAsia="Times New Roman" w:hAnsi="Calibri" w:cs="Calibri"/>
                <w:color w:val="000000"/>
                <w:lang w:eastAsia="pt-BR"/>
              </w:rPr>
            </w:pPr>
            <w:r w:rsidRPr="00242957">
              <w:rPr>
                <w:rFonts w:ascii="Calibri" w:eastAsia="Times New Roman" w:hAnsi="Calibri" w:cs="Calibri"/>
                <w:color w:val="000000"/>
                <w:lang w:eastAsia="pt-BR"/>
              </w:rPr>
              <w:t>11.3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42957" w:rsidRPr="00242957" w:rsidRDefault="00242957" w:rsidP="00242957">
            <w:pPr>
              <w:spacing w:after="0" w:line="240" w:lineRule="auto"/>
              <w:rPr>
                <w:rFonts w:ascii="Calibri" w:eastAsia="Times New Roman" w:hAnsi="Calibri" w:cs="Calibri"/>
                <w:color w:val="000000"/>
                <w:lang w:eastAsia="pt-BR"/>
              </w:rPr>
            </w:pPr>
            <w:proofErr w:type="spellStart"/>
            <w:r w:rsidRPr="00242957">
              <w:rPr>
                <w:rFonts w:ascii="Calibri" w:eastAsia="Times New Roman" w:hAnsi="Calibri" w:cs="Calibri"/>
                <w:color w:val="000000"/>
                <w:lang w:eastAsia="pt-BR"/>
              </w:rPr>
              <w:t>Impliar</w:t>
            </w:r>
            <w:proofErr w:type="spellEnd"/>
            <w:r w:rsidRPr="00242957">
              <w:rPr>
                <w:rFonts w:ascii="Calibri" w:eastAsia="Times New Roman" w:hAnsi="Calibri" w:cs="Calibri"/>
                <w:color w:val="000000"/>
                <w:lang w:eastAsia="pt-BR"/>
              </w:rPr>
              <w:t xml:space="preserve"> a oferta de educação de nível médio para as pessoas com deficiência, transtornos globais do desenvolvimento e altas habilidades.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242957" w:rsidRPr="00242957" w:rsidTr="0024295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both"/>
              <w:rPr>
                <w:rFonts w:ascii="Calibri" w:eastAsia="Times New Roman" w:hAnsi="Calibri" w:cs="Calibri"/>
                <w:color w:val="000000"/>
                <w:lang w:eastAsia="pt-BR"/>
              </w:rPr>
            </w:pPr>
            <w:r w:rsidRPr="00242957">
              <w:rPr>
                <w:rFonts w:ascii="Calibri" w:eastAsia="Times New Roman" w:hAnsi="Calibri" w:cs="Calibri"/>
                <w:color w:val="000000"/>
                <w:lang w:eastAsia="pt-BR"/>
              </w:rPr>
              <w:t>11.4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Apoiar sistema de avaliação da qualidade da educação de nível médio das escolas públicas.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rPr>
                <w:rFonts w:ascii="Calibri" w:eastAsia="Times New Roman" w:hAnsi="Calibri" w:cs="Calibri"/>
                <w:color w:val="000000"/>
                <w:lang w:eastAsia="pt-BR"/>
              </w:rPr>
            </w:pPr>
            <w:r w:rsidRPr="00242957">
              <w:rPr>
                <w:rFonts w:ascii="Calibri" w:eastAsia="Times New Roman" w:hAnsi="Calibri" w:cs="Calibri"/>
                <w:color w:val="000000"/>
                <w:lang w:eastAsia="pt-BR"/>
              </w:rPr>
              <w:t>Não Contemplado</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42957" w:rsidRPr="00242957" w:rsidRDefault="00242957" w:rsidP="0024295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573077" w:rsidRDefault="00573077" w:rsidP="00242957">
      <w:pPr>
        <w:jc w:val="both"/>
        <w:rPr>
          <w:rFonts w:ascii="Bookman Old Style" w:hAnsi="Bookman Old Style" w:cs="Times New Roman"/>
          <w:color w:val="000000" w:themeColor="text1"/>
          <w:sz w:val="24"/>
          <w:szCs w:val="24"/>
        </w:rPr>
      </w:pPr>
    </w:p>
    <w:p w:rsidR="00D81FEF" w:rsidRPr="00573077" w:rsidRDefault="00D81FEF" w:rsidP="00242957">
      <w:pPr>
        <w:jc w:val="both"/>
        <w:rPr>
          <w:rFonts w:ascii="Bookman Old Style" w:hAnsi="Bookman Old Style" w:cs="Times New Roman"/>
          <w:color w:val="000000" w:themeColor="text1"/>
          <w:sz w:val="24"/>
          <w:szCs w:val="24"/>
        </w:rPr>
      </w:pPr>
    </w:p>
    <w:p w:rsidR="00242957" w:rsidRPr="00242957" w:rsidRDefault="00242957" w:rsidP="00242957">
      <w:pPr>
        <w:jc w:val="both"/>
        <w:rPr>
          <w:rFonts w:ascii="Bookman Old Style" w:hAnsi="Bookman Old Style" w:cs="Times New Roman"/>
          <w:b/>
          <w:color w:val="000000" w:themeColor="text1"/>
          <w:sz w:val="24"/>
          <w:szCs w:val="24"/>
        </w:rPr>
      </w:pPr>
      <w:r w:rsidRPr="00242957">
        <w:rPr>
          <w:rFonts w:ascii="Bookman Old Style" w:hAnsi="Bookman Old Style" w:cs="Times New Roman"/>
          <w:b/>
          <w:color w:val="000000" w:themeColor="text1"/>
          <w:sz w:val="24"/>
          <w:szCs w:val="24"/>
        </w:rPr>
        <w:lastRenderedPageBreak/>
        <w:t>Conclusão a respeito da Meta:</w:t>
      </w:r>
    </w:p>
    <w:p w:rsidR="00242957" w:rsidRPr="00242957" w:rsidRDefault="00242957" w:rsidP="00242957">
      <w:pPr>
        <w:ind w:firstLine="567"/>
        <w:jc w:val="both"/>
        <w:rPr>
          <w:rFonts w:ascii="Bookman Old Style" w:hAnsi="Bookman Old Style" w:cs="Times New Roman"/>
          <w:color w:val="000000" w:themeColor="text1"/>
          <w:sz w:val="24"/>
          <w:szCs w:val="24"/>
        </w:rPr>
      </w:pPr>
      <w:r w:rsidRPr="00242957">
        <w:rPr>
          <w:rFonts w:ascii="Bookman Old Style" w:hAnsi="Bookman Old Style" w:cs="Times New Roman"/>
          <w:color w:val="000000" w:themeColor="text1"/>
          <w:sz w:val="24"/>
          <w:szCs w:val="24"/>
        </w:rPr>
        <w:t xml:space="preserve">Ampliar e manter as vagas na educação profissional em nível médio na rede estadual de ensino do Município é de suma importância para o Município, pois conforme o já explicitado no relatório desta meta, teremos um incremento qualificado na mão-de-obra da população, que ao concluir o ensino médio poderá já adentrar ao mercado de trabalho. Deve-se para qualificar esta modalidade de ensino, conforme o também citado em outras metas, promover e apoiar a formação continuada e qualificada do corpo docente. Esta qualificação dos docentes indubitavelmente irá refletir na formação final do aluno. O regime de colaboração com estado e união é imprescindível para </w:t>
      </w:r>
      <w:proofErr w:type="spellStart"/>
      <w:r w:rsidRPr="00242957">
        <w:rPr>
          <w:rFonts w:ascii="Bookman Old Style" w:hAnsi="Bookman Old Style" w:cs="Times New Roman"/>
          <w:color w:val="000000" w:themeColor="text1"/>
          <w:sz w:val="24"/>
          <w:szCs w:val="24"/>
        </w:rPr>
        <w:t>exponenciar</w:t>
      </w:r>
      <w:proofErr w:type="spellEnd"/>
      <w:r w:rsidRPr="00242957">
        <w:rPr>
          <w:rFonts w:ascii="Bookman Old Style" w:hAnsi="Bookman Old Style" w:cs="Times New Roman"/>
          <w:color w:val="000000" w:themeColor="text1"/>
          <w:sz w:val="24"/>
          <w:szCs w:val="24"/>
        </w:rPr>
        <w:t xml:space="preserve"> a oferta de matrículas na educação profissional em nível médio, com a transferência de conhecimento, de práticas pedagógicas e de projetos nesta área.</w:t>
      </w:r>
    </w:p>
    <w:p w:rsidR="00573077" w:rsidRDefault="00242957" w:rsidP="00242957">
      <w:pPr>
        <w:ind w:firstLine="567"/>
        <w:jc w:val="both"/>
        <w:rPr>
          <w:rFonts w:ascii="Bookman Old Style" w:hAnsi="Bookman Old Style" w:cs="Times New Roman"/>
          <w:color w:val="000000" w:themeColor="text1"/>
          <w:sz w:val="24"/>
          <w:szCs w:val="24"/>
        </w:rPr>
      </w:pPr>
      <w:r w:rsidRPr="00242957">
        <w:rPr>
          <w:rFonts w:ascii="Bookman Old Style" w:hAnsi="Bookman Old Style" w:cs="Times New Roman"/>
          <w:color w:val="000000" w:themeColor="text1"/>
          <w:sz w:val="24"/>
          <w:szCs w:val="24"/>
        </w:rPr>
        <w:t xml:space="preserve">A </w:t>
      </w:r>
      <w:proofErr w:type="spellStart"/>
      <w:r w:rsidRPr="00242957">
        <w:rPr>
          <w:rFonts w:ascii="Bookman Old Style" w:hAnsi="Bookman Old Style" w:cs="Times New Roman"/>
          <w:color w:val="000000" w:themeColor="text1"/>
          <w:sz w:val="24"/>
          <w:szCs w:val="24"/>
        </w:rPr>
        <w:t>intersetorialidade</w:t>
      </w:r>
      <w:proofErr w:type="spellEnd"/>
      <w:r w:rsidRPr="00242957">
        <w:rPr>
          <w:rFonts w:ascii="Bookman Old Style" w:hAnsi="Bookman Old Style" w:cs="Times New Roman"/>
          <w:color w:val="000000" w:themeColor="text1"/>
          <w:sz w:val="24"/>
          <w:szCs w:val="24"/>
        </w:rPr>
        <w:t xml:space="preserve"> deve ser promovida entre estado e Município, também entre as distintas Secretarias da Administração Pública Municipal, para promoverem a conscientização dos alunos e população da importância da educação ofertada pela Rede Estadual em nível médio e a sua qualificação constante. </w:t>
      </w:r>
      <w:proofErr w:type="gramStart"/>
      <w:r w:rsidRPr="00242957">
        <w:rPr>
          <w:rFonts w:ascii="Bookman Old Style" w:hAnsi="Bookman Old Style" w:cs="Times New Roman"/>
          <w:color w:val="000000" w:themeColor="text1"/>
          <w:sz w:val="24"/>
          <w:szCs w:val="24"/>
        </w:rPr>
        <w:t>A oferta e o incremento plural de cursos técnicos profissionalizantes de nível médio irá instigar</w:t>
      </w:r>
      <w:proofErr w:type="gramEnd"/>
      <w:r w:rsidRPr="00242957">
        <w:rPr>
          <w:rFonts w:ascii="Bookman Old Style" w:hAnsi="Bookman Old Style" w:cs="Times New Roman"/>
          <w:color w:val="000000" w:themeColor="text1"/>
          <w:sz w:val="24"/>
          <w:szCs w:val="24"/>
        </w:rPr>
        <w:t xml:space="preserve"> aos estudantes que se matriculem nesta modalidade.</w:t>
      </w:r>
    </w:p>
    <w:p w:rsidR="00E4403B" w:rsidRDefault="00E4403B" w:rsidP="00E4403B">
      <w:pPr>
        <w:pStyle w:val="PargrafodaLista"/>
        <w:numPr>
          <w:ilvl w:val="0"/>
          <w:numId w:val="22"/>
        </w:numPr>
        <w:jc w:val="both"/>
        <w:rPr>
          <w:rFonts w:ascii="Bookman Old Style" w:hAnsi="Bookman Old Style" w:cs="Times New Roman"/>
          <w:b/>
          <w:color w:val="000000" w:themeColor="text1"/>
          <w:sz w:val="24"/>
          <w:szCs w:val="24"/>
        </w:rPr>
      </w:pPr>
      <w:r w:rsidRPr="00047456">
        <w:rPr>
          <w:rFonts w:ascii="Bookman Old Style" w:hAnsi="Bookman Old Style" w:cs="Times New Roman"/>
          <w:b/>
          <w:color w:val="000000" w:themeColor="text1"/>
          <w:sz w:val="24"/>
          <w:szCs w:val="24"/>
        </w:rPr>
        <w:t>Sugestão de Nova Redação da Meta</w:t>
      </w:r>
      <w:r>
        <w:rPr>
          <w:rFonts w:ascii="Bookman Old Style" w:hAnsi="Bookman Old Style" w:cs="Times New Roman"/>
          <w:b/>
          <w:color w:val="000000" w:themeColor="text1"/>
          <w:sz w:val="24"/>
          <w:szCs w:val="24"/>
        </w:rPr>
        <w:t xml:space="preserve"> e inclusão de Estratégia</w:t>
      </w:r>
      <w:r w:rsidRPr="00047456">
        <w:rPr>
          <w:rFonts w:ascii="Bookman Old Style" w:hAnsi="Bookman Old Style" w:cs="Times New Roman"/>
          <w:b/>
          <w:color w:val="000000" w:themeColor="text1"/>
          <w:sz w:val="24"/>
          <w:szCs w:val="24"/>
        </w:rPr>
        <w:t>:</w:t>
      </w:r>
    </w:p>
    <w:p w:rsidR="00E4403B" w:rsidRDefault="00E4403B" w:rsidP="00E4403B">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Com relação à Meta nº. 11</w:t>
      </w:r>
      <w:r w:rsidRPr="00666FDE">
        <w:rPr>
          <w:rFonts w:ascii="Bookman Old Style" w:hAnsi="Bookman Old Style" w:cs="Times New Roman"/>
          <w:color w:val="000000" w:themeColor="text1"/>
          <w:sz w:val="24"/>
          <w:szCs w:val="24"/>
        </w:rPr>
        <w:t>, após análise, e considerando que a sua redação não está em concordância com o PNE, propõe-se a seguinte adequação a ser realizada na íntegra:</w:t>
      </w:r>
    </w:p>
    <w:p w:rsidR="00E4403B" w:rsidRPr="00666FDE" w:rsidRDefault="00E4403B" w:rsidP="00E4403B">
      <w:pPr>
        <w:ind w:firstLine="567"/>
        <w:jc w:val="both"/>
        <w:rPr>
          <w:rFonts w:ascii="Bookman Old Style" w:hAnsi="Bookman Old Style" w:cs="Times New Roman"/>
          <w:i/>
          <w:color w:val="000000" w:themeColor="text1"/>
          <w:sz w:val="24"/>
          <w:szCs w:val="24"/>
        </w:rPr>
      </w:pPr>
    </w:p>
    <w:p w:rsidR="00065667" w:rsidRPr="00E4403B" w:rsidRDefault="00E4403B" w:rsidP="00E4403B">
      <w:pPr>
        <w:jc w:val="both"/>
        <w:rPr>
          <w:rFonts w:ascii="Bookman Old Style" w:hAnsi="Bookman Old Style" w:cs="Times New Roman"/>
          <w:i/>
          <w:color w:val="000000" w:themeColor="text1"/>
          <w:sz w:val="24"/>
          <w:szCs w:val="24"/>
        </w:rPr>
      </w:pPr>
      <w:r w:rsidRPr="00E4403B">
        <w:rPr>
          <w:rFonts w:ascii="Bookman Old Style" w:hAnsi="Bookman Old Style" w:cs="Times New Roman"/>
          <w:i/>
          <w:color w:val="000000" w:themeColor="text1"/>
          <w:sz w:val="24"/>
          <w:szCs w:val="24"/>
          <w:highlight w:val="lightGray"/>
        </w:rPr>
        <w:t>“Contribuir para a ampliação das matrículas da educação Profissional Técnica em nível médio.”</w:t>
      </w:r>
    </w:p>
    <w:p w:rsidR="00065667" w:rsidRDefault="00E4403B" w:rsidP="00242957">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Recomenda-se também que seja incluída nova estratégia para esta modalidade, intuindo clarificar </w:t>
      </w:r>
      <w:r w:rsidR="004B3EA2">
        <w:rPr>
          <w:rFonts w:ascii="Bookman Old Style" w:hAnsi="Bookman Old Style" w:cs="Times New Roman"/>
          <w:color w:val="000000" w:themeColor="text1"/>
          <w:sz w:val="24"/>
          <w:szCs w:val="24"/>
        </w:rPr>
        <w:t>no PME o que efetivamente será feito.</w:t>
      </w:r>
    </w:p>
    <w:p w:rsidR="00065667" w:rsidRDefault="004B3EA2" w:rsidP="00242957">
      <w:pPr>
        <w:ind w:firstLine="567"/>
        <w:jc w:val="both"/>
        <w:rPr>
          <w:rFonts w:ascii="Bookman Old Style" w:hAnsi="Bookman Old Style" w:cs="Calibri"/>
          <w:color w:val="000000"/>
          <w:sz w:val="24"/>
          <w:szCs w:val="24"/>
          <w:shd w:val="clear" w:color="auto" w:fill="FFFFFF"/>
        </w:rPr>
      </w:pPr>
      <w:r w:rsidRPr="004B3EA2">
        <w:rPr>
          <w:rFonts w:ascii="Bookman Old Style" w:hAnsi="Bookman Old Style" w:cs="Calibri"/>
          <w:color w:val="000000"/>
          <w:sz w:val="24"/>
          <w:szCs w:val="24"/>
          <w:highlight w:val="lightGray"/>
          <w:shd w:val="clear" w:color="auto" w:fill="FFFFFF"/>
        </w:rPr>
        <w:t>11.5 - Divulgar regularmente</w:t>
      </w:r>
      <w:proofErr w:type="gramStart"/>
      <w:r w:rsidRPr="004B3EA2">
        <w:rPr>
          <w:rFonts w:ascii="Bookman Old Style" w:hAnsi="Bookman Old Style" w:cs="Calibri"/>
          <w:color w:val="000000"/>
          <w:sz w:val="24"/>
          <w:szCs w:val="24"/>
          <w:highlight w:val="lightGray"/>
          <w:shd w:val="clear" w:color="auto" w:fill="FFFFFF"/>
        </w:rPr>
        <w:t xml:space="preserve">  </w:t>
      </w:r>
      <w:proofErr w:type="gramEnd"/>
      <w:r w:rsidRPr="004B3EA2">
        <w:rPr>
          <w:rFonts w:ascii="Bookman Old Style" w:hAnsi="Bookman Old Style" w:cs="Calibri"/>
          <w:color w:val="000000"/>
          <w:sz w:val="24"/>
          <w:szCs w:val="24"/>
          <w:highlight w:val="lightGray"/>
          <w:shd w:val="clear" w:color="auto" w:fill="FFFFFF"/>
        </w:rPr>
        <w:t xml:space="preserve">as ofertas de matrículas para a educação Profissional Técnica em nível médio e estimular a matrícula concomitante ao ensino médio regular, inclusive para as pessoas com </w:t>
      </w:r>
      <w:r w:rsidRPr="004B3EA2">
        <w:rPr>
          <w:rFonts w:ascii="Bookman Old Style" w:hAnsi="Bookman Old Style" w:cs="Calibri"/>
          <w:color w:val="000000"/>
          <w:sz w:val="24"/>
          <w:szCs w:val="24"/>
          <w:highlight w:val="lightGray"/>
          <w:shd w:val="clear" w:color="auto" w:fill="FFFFFF"/>
        </w:rPr>
        <w:lastRenderedPageBreak/>
        <w:t xml:space="preserve">deficiência, transtornos globais do desenvolvimento e altas habilidades ou </w:t>
      </w:r>
      <w:proofErr w:type="spellStart"/>
      <w:r w:rsidRPr="004B3EA2">
        <w:rPr>
          <w:rFonts w:ascii="Bookman Old Style" w:hAnsi="Bookman Old Style" w:cs="Calibri"/>
          <w:color w:val="000000"/>
          <w:sz w:val="24"/>
          <w:szCs w:val="24"/>
          <w:highlight w:val="lightGray"/>
          <w:shd w:val="clear" w:color="auto" w:fill="FFFFFF"/>
        </w:rPr>
        <w:t>superdotação</w:t>
      </w:r>
      <w:proofErr w:type="spellEnd"/>
      <w:r w:rsidRPr="004B3EA2">
        <w:rPr>
          <w:rFonts w:ascii="Bookman Old Style" w:hAnsi="Bookman Old Style" w:cs="Calibri"/>
          <w:color w:val="000000"/>
          <w:sz w:val="24"/>
          <w:szCs w:val="24"/>
          <w:highlight w:val="lightGray"/>
          <w:shd w:val="clear" w:color="auto" w:fill="FFFFFF"/>
        </w:rPr>
        <w:t>.</w:t>
      </w:r>
    </w:p>
    <w:p w:rsidR="00F76E84" w:rsidRDefault="00A02FF5" w:rsidP="00D81FEF">
      <w:pPr>
        <w:pStyle w:val="Ttulo1"/>
        <w:numPr>
          <w:ilvl w:val="0"/>
          <w:numId w:val="24"/>
        </w:numPr>
        <w:rPr>
          <w:rFonts w:ascii="Bookman Old Style" w:hAnsi="Bookman Old Style"/>
          <w:color w:val="auto"/>
        </w:rPr>
      </w:pPr>
      <w:bookmarkStart w:id="15" w:name="_Toc497809481"/>
      <w:r w:rsidRPr="00D81FEF">
        <w:rPr>
          <w:rFonts w:ascii="Bookman Old Style" w:hAnsi="Bookman Old Style"/>
          <w:color w:val="auto"/>
        </w:rPr>
        <w:t>M</w:t>
      </w:r>
      <w:r w:rsidR="00F01C84" w:rsidRPr="00D81FEF">
        <w:rPr>
          <w:rFonts w:ascii="Bookman Old Style" w:hAnsi="Bookman Old Style"/>
          <w:color w:val="auto"/>
        </w:rPr>
        <w:t xml:space="preserve">eta sobre </w:t>
      </w:r>
      <w:r w:rsidR="00216EAD" w:rsidRPr="00D81FEF">
        <w:rPr>
          <w:rFonts w:ascii="Bookman Old Style" w:hAnsi="Bookman Old Style"/>
          <w:color w:val="auto"/>
        </w:rPr>
        <w:t>a Educação Superior</w:t>
      </w:r>
      <w:bookmarkEnd w:id="15"/>
    </w:p>
    <w:p w:rsidR="00D81FEF" w:rsidRPr="00D81FEF" w:rsidRDefault="00D81FEF" w:rsidP="00D81FEF"/>
    <w:p w:rsidR="00A158C9" w:rsidRDefault="00A158C9" w:rsidP="00772616">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772616">
        <w:rPr>
          <w:rFonts w:ascii="Bookman Old Style" w:hAnsi="Bookman Old Style" w:cs="Times New Roman"/>
          <w:b/>
          <w:color w:val="000000" w:themeColor="text1"/>
          <w:sz w:val="24"/>
          <w:szCs w:val="24"/>
        </w:rPr>
        <w:t xml:space="preserve"> nº. 12:</w:t>
      </w:r>
      <w:r w:rsidRPr="00B3094D">
        <w:rPr>
          <w:rFonts w:ascii="Bookman Old Style" w:hAnsi="Bookman Old Style" w:cs="Times New Roman"/>
          <w:b/>
          <w:color w:val="000000" w:themeColor="text1"/>
          <w:sz w:val="24"/>
          <w:szCs w:val="24"/>
        </w:rPr>
        <w:t xml:space="preserve"> </w:t>
      </w:r>
      <w:r w:rsidR="00772616" w:rsidRPr="00772616">
        <w:rPr>
          <w:rFonts w:ascii="Bookman Old Style" w:hAnsi="Bookman Old Style" w:cs="Times New Roman"/>
          <w:b/>
          <w:color w:val="000000" w:themeColor="text1"/>
          <w:sz w:val="24"/>
          <w:szCs w:val="24"/>
        </w:rPr>
        <w:t>Elevar a taxa bruta de matrícula na educação superior para 50% e a taxa líquida para 33% da população de 18 a 24 anos, assegurada a qualidade da oferta e expansão para, pelo menos, 40% das novas matrículas, no segmento público.</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5B2117" w:rsidRPr="00D049A9" w:rsidTr="005B2117">
        <w:trPr>
          <w:gridBefore w:val="1"/>
          <w:wBefore w:w="1456" w:type="dxa"/>
          <w:trHeight w:val="948"/>
        </w:trPr>
        <w:tc>
          <w:tcPr>
            <w:tcW w:w="1330" w:type="dxa"/>
            <w:vAlign w:val="center"/>
          </w:tcPr>
          <w:p w:rsidR="005B2117" w:rsidRPr="00D049A9" w:rsidRDefault="005B2117" w:rsidP="005B2117">
            <w:pPr>
              <w:rPr>
                <w:rFonts w:ascii="Bookman Old Style" w:hAnsi="Bookman Old Style" w:cs="Times New Roman"/>
                <w:color w:val="000000" w:themeColor="text1"/>
                <w:sz w:val="20"/>
                <w:szCs w:val="20"/>
              </w:rPr>
            </w:pPr>
          </w:p>
          <w:p w:rsidR="005B2117"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5B2117" w:rsidRPr="00D049A9" w:rsidRDefault="005B2117" w:rsidP="005B2117">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w:t>
            </w:r>
            <w:r w:rsidR="00BB653D">
              <w:rPr>
                <w:rFonts w:ascii="Bookman Old Style" w:hAnsi="Bookman Old Style" w:cs="Times New Roman"/>
                <w:b/>
                <w:color w:val="000000" w:themeColor="text1"/>
                <w:sz w:val="20"/>
                <w:szCs w:val="20"/>
              </w:rPr>
              <w:t>2</w:t>
            </w:r>
            <w:r>
              <w:rPr>
                <w:rFonts w:ascii="Bookman Old Style" w:hAnsi="Bookman Old Style" w:cs="Times New Roman"/>
                <w:b/>
                <w:color w:val="000000" w:themeColor="text1"/>
                <w:sz w:val="20"/>
                <w:szCs w:val="20"/>
              </w:rPr>
              <w:t xml:space="preserve"> A</w:t>
            </w:r>
          </w:p>
          <w:p w:rsidR="005B2117" w:rsidRPr="00D049A9" w:rsidRDefault="005B2117" w:rsidP="005B2117">
            <w:pPr>
              <w:jc w:val="center"/>
              <w:rPr>
                <w:rFonts w:ascii="Bookman Old Style" w:hAnsi="Bookman Old Style" w:cs="Times New Roman"/>
                <w:color w:val="000000" w:themeColor="text1"/>
                <w:sz w:val="20"/>
                <w:szCs w:val="20"/>
              </w:rPr>
            </w:pPr>
          </w:p>
        </w:tc>
        <w:tc>
          <w:tcPr>
            <w:tcW w:w="7640" w:type="dxa"/>
            <w:gridSpan w:val="3"/>
            <w:vAlign w:val="center"/>
          </w:tcPr>
          <w:p w:rsidR="005B2117" w:rsidRPr="00D049A9" w:rsidRDefault="005B2117" w:rsidP="005B2117">
            <w:pPr>
              <w:jc w:val="center"/>
              <w:rPr>
                <w:rFonts w:ascii="Bookman Old Style" w:hAnsi="Bookman Old Style" w:cs="Times New Roman"/>
                <w:b/>
                <w:color w:val="000000" w:themeColor="text1"/>
                <w:sz w:val="20"/>
                <w:szCs w:val="20"/>
              </w:rPr>
            </w:pPr>
            <w:r w:rsidRPr="005B2117">
              <w:rPr>
                <w:rFonts w:ascii="Bookman Old Style" w:hAnsi="Bookman Old Style" w:cs="Times New Roman"/>
                <w:b/>
                <w:color w:val="000000" w:themeColor="text1"/>
                <w:sz w:val="20"/>
                <w:szCs w:val="20"/>
              </w:rPr>
              <w:t>Taxa bruta de matrículas na educação superior.</w:t>
            </w:r>
          </w:p>
        </w:tc>
      </w:tr>
      <w:tr w:rsidR="005B2117" w:rsidRPr="00D049A9" w:rsidTr="005B2117">
        <w:tblPrEx>
          <w:tblCellMar>
            <w:left w:w="108" w:type="dxa"/>
            <w:right w:w="108" w:type="dxa"/>
          </w:tblCellMar>
          <w:tblLook w:val="04A0"/>
        </w:tblPrEx>
        <w:trPr>
          <w:gridBefore w:val="1"/>
          <w:wBefore w:w="1456" w:type="dxa"/>
          <w:trHeight w:val="325"/>
        </w:trPr>
        <w:tc>
          <w:tcPr>
            <w:tcW w:w="1330" w:type="dxa"/>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5B2117" w:rsidRPr="00D049A9" w:rsidTr="005B2117">
        <w:trPr>
          <w:trHeight w:val="284"/>
        </w:trPr>
        <w:tc>
          <w:tcPr>
            <w:tcW w:w="1456" w:type="dxa"/>
            <w:vMerge w:val="restart"/>
            <w:tcBorders>
              <w:top w:val="nil"/>
              <w:left w:val="nil"/>
              <w:bottom w:val="nil"/>
            </w:tcBorders>
            <w:shd w:val="clear" w:color="auto" w:fill="auto"/>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330" w:type="dxa"/>
            <w:vMerge w:val="restart"/>
            <w:vAlign w:val="center"/>
          </w:tcPr>
          <w:p w:rsidR="005B2117" w:rsidRPr="00D049A9" w:rsidRDefault="005B2117" w:rsidP="005B211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50,00%</w:t>
            </w:r>
          </w:p>
        </w:tc>
        <w:tc>
          <w:tcPr>
            <w:tcW w:w="1292" w:type="dxa"/>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18,40%</w:t>
            </w:r>
          </w:p>
        </w:tc>
        <w:tc>
          <w:tcPr>
            <w:tcW w:w="4649" w:type="dxa"/>
            <w:vAlign w:val="center"/>
          </w:tcPr>
          <w:p w:rsidR="005B2117" w:rsidRPr="00D049A9" w:rsidRDefault="005B2117" w:rsidP="005B2117">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tc>
      </w:tr>
      <w:tr w:rsidR="005B2117" w:rsidRPr="00D049A9" w:rsidTr="005B2117">
        <w:trPr>
          <w:trHeight w:val="284"/>
        </w:trPr>
        <w:tc>
          <w:tcPr>
            <w:tcW w:w="1456" w:type="dxa"/>
            <w:vMerge/>
            <w:tcBorders>
              <w:left w:val="nil"/>
              <w:bottom w:val="nil"/>
            </w:tcBorders>
            <w:shd w:val="clear" w:color="auto" w:fill="auto"/>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330" w:type="dxa"/>
            <w:vMerge/>
            <w:vAlign w:val="center"/>
          </w:tcPr>
          <w:p w:rsidR="005B2117" w:rsidRPr="00D049A9" w:rsidRDefault="005B2117" w:rsidP="005B2117">
            <w:pPr>
              <w:jc w:val="center"/>
              <w:rPr>
                <w:rFonts w:ascii="Bookman Old Style" w:hAnsi="Bookman Old Style" w:cs="Times New Roman"/>
                <w:b/>
                <w:color w:val="000000" w:themeColor="text1"/>
                <w:sz w:val="20"/>
                <w:szCs w:val="20"/>
              </w:rPr>
            </w:pPr>
          </w:p>
        </w:tc>
        <w:tc>
          <w:tcPr>
            <w:tcW w:w="1292" w:type="dxa"/>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69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p>
        </w:tc>
        <w:tc>
          <w:tcPr>
            <w:tcW w:w="4649" w:type="dxa"/>
            <w:vAlign w:val="center"/>
          </w:tcPr>
          <w:p w:rsidR="005B2117" w:rsidRPr="00D049A9" w:rsidRDefault="005B2117" w:rsidP="005B2117">
            <w:pPr>
              <w:jc w:val="both"/>
              <w:rPr>
                <w:rFonts w:ascii="Bookman Old Style" w:hAnsi="Bookman Old Style" w:cs="Times New Roman"/>
                <w:color w:val="000000" w:themeColor="text1"/>
                <w:sz w:val="20"/>
                <w:szCs w:val="20"/>
              </w:rPr>
            </w:pPr>
            <w:r>
              <w:t>**acesso em dezembro de 2016.</w:t>
            </w:r>
          </w:p>
        </w:tc>
      </w:tr>
    </w:tbl>
    <w:p w:rsidR="00704102" w:rsidRPr="00B3094D" w:rsidRDefault="00704102"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5B2117" w:rsidRPr="00D049A9" w:rsidTr="005B2117">
        <w:trPr>
          <w:gridBefore w:val="1"/>
          <w:wBefore w:w="1456" w:type="dxa"/>
          <w:trHeight w:val="948"/>
        </w:trPr>
        <w:tc>
          <w:tcPr>
            <w:tcW w:w="1330" w:type="dxa"/>
            <w:vAlign w:val="center"/>
          </w:tcPr>
          <w:p w:rsidR="005B2117" w:rsidRPr="00D049A9" w:rsidRDefault="005B2117" w:rsidP="005B2117">
            <w:pPr>
              <w:rPr>
                <w:rFonts w:ascii="Bookman Old Style" w:hAnsi="Bookman Old Style" w:cs="Times New Roman"/>
                <w:color w:val="000000" w:themeColor="text1"/>
                <w:sz w:val="20"/>
                <w:szCs w:val="20"/>
              </w:rPr>
            </w:pPr>
          </w:p>
          <w:p w:rsidR="005B2117"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5B2117" w:rsidRPr="00D049A9" w:rsidRDefault="00BB653D" w:rsidP="005B2117">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12</w:t>
            </w:r>
            <w:r w:rsidR="005B2117">
              <w:rPr>
                <w:rFonts w:ascii="Bookman Old Style" w:hAnsi="Bookman Old Style" w:cs="Times New Roman"/>
                <w:b/>
                <w:color w:val="000000" w:themeColor="text1"/>
                <w:sz w:val="20"/>
                <w:szCs w:val="20"/>
              </w:rPr>
              <w:t xml:space="preserve"> B</w:t>
            </w:r>
          </w:p>
          <w:p w:rsidR="005B2117" w:rsidRPr="00D049A9" w:rsidRDefault="005B2117" w:rsidP="005B2117">
            <w:pPr>
              <w:jc w:val="center"/>
              <w:rPr>
                <w:rFonts w:ascii="Bookman Old Style" w:hAnsi="Bookman Old Style" w:cs="Times New Roman"/>
                <w:color w:val="000000" w:themeColor="text1"/>
                <w:sz w:val="20"/>
                <w:szCs w:val="20"/>
              </w:rPr>
            </w:pPr>
          </w:p>
        </w:tc>
        <w:tc>
          <w:tcPr>
            <w:tcW w:w="7640" w:type="dxa"/>
            <w:gridSpan w:val="3"/>
            <w:vAlign w:val="center"/>
          </w:tcPr>
          <w:p w:rsidR="005B2117" w:rsidRPr="00D049A9" w:rsidRDefault="005B2117" w:rsidP="005B2117">
            <w:pPr>
              <w:jc w:val="center"/>
              <w:rPr>
                <w:rFonts w:ascii="Bookman Old Style" w:hAnsi="Bookman Old Style" w:cs="Times New Roman"/>
                <w:b/>
                <w:color w:val="000000" w:themeColor="text1"/>
                <w:sz w:val="20"/>
                <w:szCs w:val="20"/>
              </w:rPr>
            </w:pPr>
            <w:r w:rsidRPr="005B2117">
              <w:rPr>
                <w:rFonts w:ascii="Bookman Old Style" w:hAnsi="Bookman Old Style" w:cs="Times New Roman"/>
                <w:b/>
                <w:color w:val="000000" w:themeColor="text1"/>
                <w:sz w:val="20"/>
                <w:szCs w:val="20"/>
              </w:rPr>
              <w:t>Taxa líquida de escolarização ajustada na educação superior.</w:t>
            </w:r>
          </w:p>
        </w:tc>
      </w:tr>
      <w:tr w:rsidR="005B2117" w:rsidRPr="00D049A9" w:rsidTr="005B2117">
        <w:tblPrEx>
          <w:tblCellMar>
            <w:left w:w="108" w:type="dxa"/>
            <w:right w:w="108" w:type="dxa"/>
          </w:tblCellMar>
          <w:tblLook w:val="04A0"/>
        </w:tblPrEx>
        <w:trPr>
          <w:gridBefore w:val="1"/>
          <w:wBefore w:w="1456" w:type="dxa"/>
          <w:trHeight w:val="325"/>
        </w:trPr>
        <w:tc>
          <w:tcPr>
            <w:tcW w:w="1330" w:type="dxa"/>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5B2117" w:rsidRPr="00D049A9" w:rsidTr="005B2117">
        <w:trPr>
          <w:trHeight w:val="284"/>
        </w:trPr>
        <w:tc>
          <w:tcPr>
            <w:tcW w:w="1456" w:type="dxa"/>
            <w:vMerge w:val="restart"/>
            <w:tcBorders>
              <w:top w:val="nil"/>
              <w:left w:val="nil"/>
              <w:bottom w:val="nil"/>
            </w:tcBorders>
            <w:shd w:val="clear" w:color="auto" w:fill="auto"/>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330" w:type="dxa"/>
            <w:vMerge w:val="restart"/>
            <w:vAlign w:val="center"/>
          </w:tcPr>
          <w:p w:rsidR="005B2117" w:rsidRPr="00D049A9" w:rsidRDefault="005B2117" w:rsidP="005B211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33,00%</w:t>
            </w:r>
          </w:p>
        </w:tc>
        <w:tc>
          <w:tcPr>
            <w:tcW w:w="1292" w:type="dxa"/>
            <w:vAlign w:val="center"/>
          </w:tcPr>
          <w:p w:rsidR="005B2117" w:rsidRPr="00D049A9" w:rsidRDefault="005B2117" w:rsidP="005B2117">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17,60%</w:t>
            </w:r>
          </w:p>
        </w:tc>
        <w:tc>
          <w:tcPr>
            <w:tcW w:w="4649" w:type="dxa"/>
            <w:vAlign w:val="center"/>
          </w:tcPr>
          <w:p w:rsidR="005B2117" w:rsidRPr="00D049A9" w:rsidRDefault="005B2117" w:rsidP="005B2117">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Fonte: PNE em Movimento – disponível em: </w:t>
            </w:r>
            <w:proofErr w:type="gramStart"/>
            <w:r w:rsidRPr="00D049A9">
              <w:rPr>
                <w:rFonts w:ascii="Bookman Old Style" w:hAnsi="Bookman Old Style" w:cs="Times New Roman"/>
                <w:color w:val="000000" w:themeColor="text1"/>
                <w:sz w:val="20"/>
                <w:szCs w:val="20"/>
              </w:rPr>
              <w:t>http://sime</w:t>
            </w:r>
            <w:r>
              <w:rPr>
                <w:rFonts w:ascii="Bookman Old Style" w:hAnsi="Bookman Old Style" w:cs="Times New Roman"/>
                <w:color w:val="000000" w:themeColor="text1"/>
                <w:sz w:val="20"/>
                <w:szCs w:val="20"/>
              </w:rPr>
              <w:t>c.mec.gov.br/pde/graficopne.</w:t>
            </w:r>
            <w:proofErr w:type="gramEnd"/>
            <w:r>
              <w:rPr>
                <w:rFonts w:ascii="Bookman Old Style" w:hAnsi="Bookman Old Style" w:cs="Times New Roman"/>
                <w:color w:val="000000" w:themeColor="text1"/>
                <w:sz w:val="20"/>
                <w:szCs w:val="20"/>
              </w:rPr>
              <w:t>php.</w:t>
            </w:r>
          </w:p>
        </w:tc>
      </w:tr>
      <w:tr w:rsidR="005B2117" w:rsidRPr="00D049A9" w:rsidTr="005B2117">
        <w:trPr>
          <w:trHeight w:val="284"/>
        </w:trPr>
        <w:tc>
          <w:tcPr>
            <w:tcW w:w="1456" w:type="dxa"/>
            <w:vMerge/>
            <w:tcBorders>
              <w:left w:val="nil"/>
              <w:bottom w:val="nil"/>
            </w:tcBorders>
            <w:shd w:val="clear" w:color="auto" w:fill="auto"/>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330" w:type="dxa"/>
            <w:vMerge/>
            <w:vAlign w:val="center"/>
          </w:tcPr>
          <w:p w:rsidR="005B2117" w:rsidRPr="00D049A9" w:rsidRDefault="005B2117" w:rsidP="005B2117">
            <w:pPr>
              <w:jc w:val="center"/>
              <w:rPr>
                <w:rFonts w:ascii="Bookman Old Style" w:hAnsi="Bookman Old Style" w:cs="Times New Roman"/>
                <w:b/>
                <w:color w:val="000000" w:themeColor="text1"/>
                <w:sz w:val="20"/>
                <w:szCs w:val="20"/>
              </w:rPr>
            </w:pPr>
          </w:p>
        </w:tc>
        <w:tc>
          <w:tcPr>
            <w:tcW w:w="1292" w:type="dxa"/>
            <w:vAlign w:val="center"/>
          </w:tcPr>
          <w:p w:rsidR="005B2117" w:rsidRPr="00D049A9" w:rsidRDefault="005B2117" w:rsidP="005B2117">
            <w:pPr>
              <w:jc w:val="center"/>
              <w:rPr>
                <w:rFonts w:ascii="Bookman Old Style" w:hAnsi="Bookman Old Style" w:cs="Times New Roman"/>
                <w:color w:val="000000" w:themeColor="text1"/>
                <w:sz w:val="20"/>
                <w:szCs w:val="20"/>
              </w:rPr>
            </w:pPr>
          </w:p>
        </w:tc>
        <w:tc>
          <w:tcPr>
            <w:tcW w:w="1699" w:type="dxa"/>
            <w:vAlign w:val="center"/>
          </w:tcPr>
          <w:p w:rsidR="005B2117" w:rsidRPr="00D049A9" w:rsidRDefault="005B2117" w:rsidP="005B2117">
            <w:pPr>
              <w:jc w:val="center"/>
              <w:rPr>
                <w:rFonts w:ascii="Bookman Old Style" w:hAnsi="Bookman Old Style" w:cs="Times New Roman"/>
                <w:b/>
                <w:color w:val="000000" w:themeColor="text1"/>
                <w:sz w:val="20"/>
                <w:szCs w:val="20"/>
              </w:rPr>
            </w:pPr>
          </w:p>
        </w:tc>
        <w:tc>
          <w:tcPr>
            <w:tcW w:w="4649" w:type="dxa"/>
            <w:vAlign w:val="center"/>
          </w:tcPr>
          <w:p w:rsidR="005B2117" w:rsidRPr="00D049A9" w:rsidRDefault="005B2117" w:rsidP="005B2117">
            <w:pPr>
              <w:jc w:val="both"/>
              <w:rPr>
                <w:rFonts w:ascii="Bookman Old Style" w:hAnsi="Bookman Old Style" w:cs="Times New Roman"/>
                <w:color w:val="000000" w:themeColor="text1"/>
                <w:sz w:val="20"/>
                <w:szCs w:val="20"/>
              </w:rPr>
            </w:pPr>
            <w:r>
              <w:t>**acesso em dezembro de 2016.</w:t>
            </w:r>
          </w:p>
        </w:tc>
      </w:tr>
    </w:tbl>
    <w:p w:rsidR="00704102" w:rsidRPr="00B3094D" w:rsidRDefault="00704102" w:rsidP="002E00DD">
      <w:pPr>
        <w:jc w:val="both"/>
        <w:rPr>
          <w:rFonts w:ascii="Bookman Old Style" w:hAnsi="Bookman Old Style" w:cs="Times New Roman"/>
          <w:color w:val="000000" w:themeColor="text1"/>
          <w:sz w:val="24"/>
          <w:szCs w:val="24"/>
        </w:rPr>
      </w:pPr>
    </w:p>
    <w:p w:rsidR="005B2117" w:rsidRPr="005B2117" w:rsidRDefault="005B2117" w:rsidP="005B2117">
      <w:pPr>
        <w:jc w:val="both"/>
        <w:rPr>
          <w:rFonts w:ascii="Bookman Old Style" w:hAnsi="Bookman Old Style" w:cs="Times New Roman"/>
          <w:b/>
          <w:color w:val="000000" w:themeColor="text1"/>
          <w:sz w:val="24"/>
          <w:szCs w:val="24"/>
        </w:rPr>
      </w:pPr>
      <w:r w:rsidRPr="005B2117">
        <w:rPr>
          <w:rFonts w:ascii="Bookman Old Style" w:hAnsi="Bookman Old Style" w:cs="Times New Roman"/>
          <w:b/>
          <w:color w:val="000000" w:themeColor="text1"/>
          <w:sz w:val="24"/>
          <w:szCs w:val="24"/>
        </w:rPr>
        <w:t>Contextualização da Meta:</w:t>
      </w:r>
    </w:p>
    <w:p w:rsidR="005B2117" w:rsidRPr="005B2117" w:rsidRDefault="005B2117" w:rsidP="000C0D92">
      <w:pPr>
        <w:ind w:firstLine="567"/>
        <w:jc w:val="both"/>
        <w:rPr>
          <w:rFonts w:ascii="Bookman Old Style" w:hAnsi="Bookman Old Style" w:cs="Times New Roman"/>
          <w:color w:val="000000" w:themeColor="text1"/>
          <w:sz w:val="24"/>
          <w:szCs w:val="24"/>
        </w:rPr>
      </w:pPr>
      <w:r w:rsidRPr="005B2117">
        <w:rPr>
          <w:rFonts w:ascii="Bookman Old Style" w:hAnsi="Bookman Old Style" w:cs="Times New Roman"/>
          <w:color w:val="000000" w:themeColor="text1"/>
          <w:sz w:val="24"/>
          <w:szCs w:val="24"/>
        </w:rPr>
        <w:t xml:space="preserve">A meta de número 12 do plano Municipal de Educação, que objetiva a elevação da taxa bruta de matrículas na educação superior para 50% e a taxa líquida para 33%, na faixa etária da população de 18 a 24 anos, assegurando a qualidade da oferta, bem como da expansão de pelo menos 40% das novas matrículas no segmento público. A educação superior </w:t>
      </w:r>
      <w:r w:rsidRPr="005B2117">
        <w:rPr>
          <w:rFonts w:ascii="Bookman Old Style" w:hAnsi="Bookman Old Style" w:cs="Times New Roman"/>
          <w:color w:val="000000" w:themeColor="text1"/>
          <w:sz w:val="24"/>
          <w:szCs w:val="24"/>
        </w:rPr>
        <w:lastRenderedPageBreak/>
        <w:t xml:space="preserve">prepara o indivíduo para o mercado de trabalho, dando um alicerce de conhecimento que contribuirá de forma indubitável para a formação do indivíduo na sua completude. O aumento gradativo das matrículas na educação superior, na faixa etária detalhada nesta meta. No âmbito do Município de Paulo Bento, terá uma possibilidade da população de um modo geral estar mais preparada profissionalmente e intelectualmente. </w:t>
      </w:r>
    </w:p>
    <w:p w:rsidR="005B2117" w:rsidRPr="005B2117" w:rsidRDefault="005B2117" w:rsidP="000C0D92">
      <w:pPr>
        <w:ind w:firstLine="567"/>
        <w:jc w:val="both"/>
        <w:rPr>
          <w:rFonts w:ascii="Bookman Old Style" w:hAnsi="Bookman Old Style" w:cs="Times New Roman"/>
          <w:color w:val="000000" w:themeColor="text1"/>
          <w:sz w:val="24"/>
          <w:szCs w:val="24"/>
        </w:rPr>
      </w:pPr>
      <w:r w:rsidRPr="005B2117">
        <w:rPr>
          <w:rFonts w:ascii="Bookman Old Style" w:hAnsi="Bookman Old Style" w:cs="Times New Roman"/>
          <w:color w:val="000000" w:themeColor="text1"/>
          <w:sz w:val="24"/>
          <w:szCs w:val="24"/>
        </w:rPr>
        <w:t xml:space="preserve">As estratégias delineadas para a meta visam incentivar as Instituições de Ensino Superior para que criem as condições necessárias para a permanência e conclusão dos estudantes matriculados nos cursos. Buscar a ampliação por meio de programas específicos da inclusão e assistência estudantil nas Instituições Públicas de Ensino Superior, bem como a inclusão de estudantes com deficiências e altas habilidades. Intuindo também firmar parcerias com as Universidades buscando ampliar projetos voltados à comunidade local, e que envolvam as diferentes áreas do conhecimento. Fomentar no âmbito das Instituições de Ensino Superior a criação de novas vagas para os alunos provenientes do ensino médio.   </w:t>
      </w:r>
    </w:p>
    <w:p w:rsidR="000C0D92" w:rsidRDefault="000C0D92" w:rsidP="005B2117">
      <w:pPr>
        <w:jc w:val="both"/>
        <w:rPr>
          <w:rFonts w:ascii="Bookman Old Style" w:hAnsi="Bookman Old Style" w:cs="Times New Roman"/>
          <w:color w:val="000000" w:themeColor="text1"/>
          <w:sz w:val="24"/>
          <w:szCs w:val="24"/>
        </w:rPr>
      </w:pPr>
    </w:p>
    <w:p w:rsidR="005B2117" w:rsidRPr="000C0D92" w:rsidRDefault="005B2117" w:rsidP="005B2117">
      <w:pPr>
        <w:jc w:val="both"/>
        <w:rPr>
          <w:rFonts w:ascii="Bookman Old Style" w:hAnsi="Bookman Old Style" w:cs="Times New Roman"/>
          <w:b/>
          <w:color w:val="000000" w:themeColor="text1"/>
          <w:sz w:val="24"/>
          <w:szCs w:val="24"/>
        </w:rPr>
      </w:pPr>
      <w:r w:rsidRPr="000C0D92">
        <w:rPr>
          <w:rFonts w:ascii="Bookman Old Style" w:hAnsi="Bookman Old Style" w:cs="Times New Roman"/>
          <w:b/>
          <w:color w:val="000000" w:themeColor="text1"/>
          <w:sz w:val="24"/>
          <w:szCs w:val="24"/>
        </w:rPr>
        <w:t>Sistematização e Análise dos Dados:</w:t>
      </w:r>
    </w:p>
    <w:p w:rsidR="005B2117" w:rsidRPr="005B2117" w:rsidRDefault="005B2117" w:rsidP="005B2117">
      <w:pPr>
        <w:jc w:val="both"/>
        <w:rPr>
          <w:rFonts w:ascii="Bookman Old Style" w:hAnsi="Bookman Old Style" w:cs="Times New Roman"/>
          <w:color w:val="000000" w:themeColor="text1"/>
          <w:sz w:val="24"/>
          <w:szCs w:val="24"/>
        </w:rPr>
      </w:pPr>
    </w:p>
    <w:p w:rsidR="005B2117" w:rsidRPr="005B2117" w:rsidRDefault="005B2117" w:rsidP="000C0D92">
      <w:pPr>
        <w:ind w:firstLine="567"/>
        <w:jc w:val="both"/>
        <w:rPr>
          <w:rFonts w:ascii="Bookman Old Style" w:hAnsi="Bookman Old Style" w:cs="Times New Roman"/>
          <w:color w:val="000000" w:themeColor="text1"/>
          <w:sz w:val="24"/>
          <w:szCs w:val="24"/>
        </w:rPr>
      </w:pPr>
      <w:r w:rsidRPr="005B2117">
        <w:rPr>
          <w:rFonts w:ascii="Bookman Old Style" w:hAnsi="Bookman Old Style" w:cs="Times New Roman"/>
          <w:color w:val="000000" w:themeColor="text1"/>
          <w:sz w:val="24"/>
          <w:szCs w:val="24"/>
        </w:rPr>
        <w:t>Os dados levantados para a elaboração do monitoramento foram provenientes do PNE em Movimento (IBGE/Pesquisa Nacional por Amostra de Domicílios, ano 2013), para esta meta, têm-se dois indicadores para análise. O indicador 12 A estabelece a porcentagem da taxa bruta de matrículas na educação superior na faixa etária especificada. O indicador 12 B</w:t>
      </w:r>
      <w:proofErr w:type="gramStart"/>
      <w:r w:rsidRPr="005B2117">
        <w:rPr>
          <w:rFonts w:ascii="Bookman Old Style" w:hAnsi="Bookman Old Style" w:cs="Times New Roman"/>
          <w:color w:val="000000" w:themeColor="text1"/>
          <w:sz w:val="24"/>
          <w:szCs w:val="24"/>
        </w:rPr>
        <w:t xml:space="preserve">  </w:t>
      </w:r>
      <w:proofErr w:type="gramEnd"/>
      <w:r w:rsidRPr="005B2117">
        <w:rPr>
          <w:rFonts w:ascii="Bookman Old Style" w:hAnsi="Bookman Old Style" w:cs="Times New Roman"/>
          <w:color w:val="000000" w:themeColor="text1"/>
          <w:sz w:val="24"/>
          <w:szCs w:val="24"/>
        </w:rPr>
        <w:t>estabelece a porcentagem da taxa líquida de escolarização ajustada na educação superior, na faixa etária especificada. A sistematização dos dados obtidos é ilustrada por meio de gráficos explicativos conforme segue.</w:t>
      </w:r>
    </w:p>
    <w:p w:rsidR="005B2117" w:rsidRPr="005B2117" w:rsidRDefault="000C0D92" w:rsidP="000C0D92">
      <w:pPr>
        <w:jc w:val="center"/>
        <w:rPr>
          <w:rFonts w:ascii="Bookman Old Style" w:hAnsi="Bookman Old Style" w:cs="Times New Roman"/>
          <w:color w:val="000000" w:themeColor="text1"/>
          <w:sz w:val="24"/>
          <w:szCs w:val="24"/>
        </w:rPr>
      </w:pPr>
      <w:r w:rsidRPr="000C0D92">
        <w:rPr>
          <w:rFonts w:ascii="Bookman Old Style" w:hAnsi="Bookman Old Style" w:cs="Times New Roman"/>
          <w:noProof/>
          <w:color w:val="000000" w:themeColor="text1"/>
          <w:sz w:val="24"/>
          <w:szCs w:val="24"/>
          <w:lang w:eastAsia="pt-BR"/>
        </w:rPr>
        <w:lastRenderedPageBreak/>
        <w:drawing>
          <wp:inline distT="0" distB="0" distL="0" distR="0">
            <wp:extent cx="4267200" cy="2581275"/>
            <wp:effectExtent l="19050" t="0" r="19050" b="0"/>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2117" w:rsidRPr="005B2117" w:rsidRDefault="000C0D92" w:rsidP="000C0D92">
      <w:pPr>
        <w:jc w:val="center"/>
        <w:rPr>
          <w:rFonts w:ascii="Bookman Old Style" w:hAnsi="Bookman Old Style" w:cs="Times New Roman"/>
          <w:color w:val="000000" w:themeColor="text1"/>
          <w:sz w:val="24"/>
          <w:szCs w:val="24"/>
        </w:rPr>
      </w:pPr>
      <w:r w:rsidRPr="000C0D92">
        <w:rPr>
          <w:rFonts w:ascii="Bookman Old Style" w:hAnsi="Bookman Old Style" w:cs="Times New Roman"/>
          <w:noProof/>
          <w:color w:val="000000" w:themeColor="text1"/>
          <w:sz w:val="24"/>
          <w:szCs w:val="24"/>
          <w:lang w:eastAsia="pt-BR"/>
        </w:rPr>
        <w:drawing>
          <wp:inline distT="0" distB="0" distL="0" distR="0">
            <wp:extent cx="4314825" cy="2771775"/>
            <wp:effectExtent l="19050" t="0" r="9525" b="0"/>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2117" w:rsidRPr="005B2117" w:rsidRDefault="005B2117" w:rsidP="000C0D92">
      <w:pPr>
        <w:ind w:firstLine="567"/>
        <w:jc w:val="both"/>
        <w:rPr>
          <w:rFonts w:ascii="Bookman Old Style" w:hAnsi="Bookman Old Style" w:cs="Times New Roman"/>
          <w:color w:val="000000" w:themeColor="text1"/>
          <w:sz w:val="24"/>
          <w:szCs w:val="24"/>
        </w:rPr>
      </w:pPr>
      <w:r w:rsidRPr="005B2117">
        <w:rPr>
          <w:rFonts w:ascii="Bookman Old Style" w:hAnsi="Bookman Old Style" w:cs="Times New Roman"/>
          <w:color w:val="000000" w:themeColor="text1"/>
          <w:sz w:val="24"/>
          <w:szCs w:val="24"/>
        </w:rPr>
        <w:t xml:space="preserve">O indicador 12 A da meta na qual estabelece porcentagem da taxa bruta de matrículas na educação superior das pessoas dos 18 aos 24 anos; o resultado alcançado no monitoramento foi de 18,4%, ficando abaixo dos 50% pactuado. Estabelecemos metas intermediárias para o indicador, na qual prevê um aumento gradual ano a ano até 2023, quando de acordo com o planejado atingirá os 50%.  O indicador 12 B da meta que estabelece taxa líquida de escolarização ajustada na educação superior, para a faixa etária dos 18 aos 24 anos; o resultado alcançado no período foi de 17,6%, abaixo, portanto dos 33% pactuado. Da mesma forma como o ocorrido no indicador </w:t>
      </w:r>
      <w:r w:rsidRPr="005B2117">
        <w:rPr>
          <w:rFonts w:ascii="Bookman Old Style" w:hAnsi="Bookman Old Style" w:cs="Times New Roman"/>
          <w:color w:val="000000" w:themeColor="text1"/>
          <w:sz w:val="24"/>
          <w:szCs w:val="24"/>
        </w:rPr>
        <w:lastRenderedPageBreak/>
        <w:t>12 A, estabelecemos metas intermediárias para o indicador, prevendo um aumento gradual e anual até 2022, intuindo atingir o pactuado de 33%.</w:t>
      </w:r>
    </w:p>
    <w:p w:rsidR="00704102" w:rsidRPr="00B3094D" w:rsidRDefault="005B2117" w:rsidP="000C0D92">
      <w:pPr>
        <w:ind w:firstLine="567"/>
        <w:jc w:val="both"/>
        <w:rPr>
          <w:rFonts w:ascii="Bookman Old Style" w:hAnsi="Bookman Old Style" w:cs="Times New Roman"/>
          <w:color w:val="000000" w:themeColor="text1"/>
          <w:sz w:val="24"/>
          <w:szCs w:val="24"/>
        </w:rPr>
      </w:pPr>
      <w:r w:rsidRPr="005B2117">
        <w:rPr>
          <w:rFonts w:ascii="Bookman Old Style" w:hAnsi="Bookman Old Style" w:cs="Times New Roman"/>
          <w:color w:val="000000" w:themeColor="text1"/>
          <w:sz w:val="24"/>
          <w:szCs w:val="24"/>
        </w:rPr>
        <w:t>Tanto as taxa de matrícula como a de escolarização no ensino superior para a faixa etária de 18 a 24 anos, refletem os índices de inclusão educacional da população do Município. Incidindo diretamente nos números indicadores deste Plano.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0C0D92" w:rsidRPr="00540B0B" w:rsidTr="000C0D92">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0C0D92" w:rsidRPr="00540B0B" w:rsidRDefault="000C0D92" w:rsidP="000C0D92">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0C0D92" w:rsidRPr="00540B0B" w:rsidRDefault="000C0D92" w:rsidP="000C0D9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0C0D92" w:rsidRPr="00540B0B" w:rsidRDefault="000C0D92" w:rsidP="000C0D9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0C0D92" w:rsidRPr="00540B0B" w:rsidRDefault="000C0D92" w:rsidP="000C0D92">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0C0D92" w:rsidRDefault="000C0D92" w:rsidP="000C0D92">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0C0D92" w:rsidRPr="00540B0B" w:rsidRDefault="000C0D92" w:rsidP="000C0D92">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0C0D92" w:rsidRPr="000C0D92" w:rsidTr="000C0D92">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both"/>
              <w:rPr>
                <w:rFonts w:ascii="Calibri" w:eastAsia="Times New Roman" w:hAnsi="Calibri" w:cs="Calibri"/>
                <w:color w:val="000000"/>
                <w:lang w:eastAsia="pt-BR"/>
              </w:rPr>
            </w:pPr>
            <w:r w:rsidRPr="000C0D92">
              <w:rPr>
                <w:rFonts w:ascii="Calibri" w:eastAsia="Times New Roman" w:hAnsi="Calibri" w:cs="Calibri"/>
                <w:color w:val="000000"/>
                <w:lang w:eastAsia="pt-BR"/>
              </w:rPr>
              <w:t>12.1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Incentivar as Instituições de Ensino Superior (IES) para que criem estratégias de elevação das taxas de permanência e conclusão dos estudantes nos cursos, através de inovações acadêmicas e projetos de extensão que valorizem a aquisição de competências, garantindo a qualidade do ensino.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0C0D92" w:rsidRPr="000C0D92" w:rsidTr="000C0D92">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both"/>
              <w:rPr>
                <w:rFonts w:ascii="Calibri" w:eastAsia="Times New Roman" w:hAnsi="Calibri" w:cs="Calibri"/>
                <w:color w:val="000000"/>
                <w:lang w:eastAsia="pt-BR"/>
              </w:rPr>
            </w:pPr>
            <w:r w:rsidRPr="000C0D92">
              <w:rPr>
                <w:rFonts w:ascii="Calibri" w:eastAsia="Times New Roman" w:hAnsi="Calibri" w:cs="Calibri"/>
                <w:color w:val="000000"/>
                <w:lang w:eastAsia="pt-BR"/>
              </w:rPr>
              <w:t>12.2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 xml:space="preserve"> Assegurar a oferta de cursos de formação de professores, especialmente nas áreas que possuem déficit de profissionais, buscando a diminuição dos valores dos cursos e taxas e carga horária efetiva para a realização dos estágios curriculares obrigatórios.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C0D92" w:rsidRDefault="000C0D92" w:rsidP="000C0D92">
            <w:pPr>
              <w:jc w:val="center"/>
            </w:pPr>
            <w:r w:rsidRPr="00623B36">
              <w:rPr>
                <w:rFonts w:ascii="Calibri" w:eastAsia="Times New Roman" w:hAnsi="Calibri" w:cs="Calibri"/>
                <w:color w:val="000000"/>
                <w:lang w:eastAsia="pt-BR"/>
              </w:rPr>
              <w:t>Não realizada</w:t>
            </w:r>
          </w:p>
        </w:tc>
      </w:tr>
      <w:tr w:rsidR="000C0D92" w:rsidRPr="000C0D92" w:rsidTr="000C0D92">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both"/>
              <w:rPr>
                <w:rFonts w:ascii="Calibri" w:eastAsia="Times New Roman" w:hAnsi="Calibri" w:cs="Calibri"/>
                <w:color w:val="000000"/>
                <w:lang w:eastAsia="pt-BR"/>
              </w:rPr>
            </w:pPr>
            <w:r w:rsidRPr="000C0D92">
              <w:rPr>
                <w:rFonts w:ascii="Calibri" w:eastAsia="Times New Roman" w:hAnsi="Calibri" w:cs="Calibri"/>
                <w:color w:val="000000"/>
                <w:lang w:eastAsia="pt-BR"/>
              </w:rPr>
              <w:t>12.3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Ampliar, por meio de programas especiais, as políticas de inclusão e de assistência estudantil nas instituições públicas de educação superior, de modo a ampliar as taxas de acesso à educação superior de estudantes egressos da escola pública, apoiando seu sucesso acadêmico.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C0D92" w:rsidRDefault="000C0D92" w:rsidP="000C0D92">
            <w:pPr>
              <w:jc w:val="center"/>
            </w:pPr>
            <w:r w:rsidRPr="00623B36">
              <w:rPr>
                <w:rFonts w:ascii="Calibri" w:eastAsia="Times New Roman" w:hAnsi="Calibri" w:cs="Calibri"/>
                <w:color w:val="000000"/>
                <w:lang w:eastAsia="pt-BR"/>
              </w:rPr>
              <w:t>Não realizada</w:t>
            </w:r>
          </w:p>
        </w:tc>
      </w:tr>
      <w:tr w:rsidR="000C0D92" w:rsidRPr="000C0D92" w:rsidTr="000C0D92">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jc w:val="both"/>
              <w:rPr>
                <w:rFonts w:ascii="Calibri" w:eastAsia="Times New Roman" w:hAnsi="Calibri" w:cs="Calibri"/>
                <w:color w:val="000000"/>
                <w:lang w:eastAsia="pt-BR"/>
              </w:rPr>
            </w:pPr>
            <w:r w:rsidRPr="000C0D92">
              <w:rPr>
                <w:rFonts w:ascii="Calibri" w:eastAsia="Times New Roman" w:hAnsi="Calibri" w:cs="Calibri"/>
                <w:color w:val="000000"/>
                <w:lang w:eastAsia="pt-BR"/>
              </w:rPr>
              <w:t>12.4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 xml:space="preserve"> Propor parcerias com as Instituições de Ensino Superior (IES) para a ampliação dos projetos de ensino, pesquisa e extensão universitária, por meio de projetos voltados à comunidade local, envolvendo as diferentes áreas do conhecimento.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0C0D92" w:rsidRPr="000C0D92" w:rsidRDefault="000C0D92" w:rsidP="000C0D92">
            <w:pPr>
              <w:spacing w:after="0" w:line="240" w:lineRule="auto"/>
              <w:rPr>
                <w:rFonts w:ascii="Calibri" w:eastAsia="Times New Roman" w:hAnsi="Calibri" w:cs="Calibri"/>
                <w:color w:val="000000"/>
                <w:lang w:eastAsia="pt-BR"/>
              </w:rPr>
            </w:pPr>
            <w:r w:rsidRPr="000C0D92">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0C0D92" w:rsidRDefault="000C0D92" w:rsidP="000C0D92">
            <w:pPr>
              <w:jc w:val="center"/>
            </w:pPr>
            <w:r w:rsidRPr="00623B36">
              <w:rPr>
                <w:rFonts w:ascii="Calibri" w:eastAsia="Times New Roman" w:hAnsi="Calibri" w:cs="Calibri"/>
                <w:color w:val="000000"/>
                <w:lang w:eastAsia="pt-BR"/>
              </w:rPr>
              <w:t>Não realizada</w:t>
            </w:r>
          </w:p>
        </w:tc>
      </w:tr>
    </w:tbl>
    <w:p w:rsidR="00704102" w:rsidRPr="00B3094D" w:rsidRDefault="00704102" w:rsidP="002E00DD">
      <w:pPr>
        <w:jc w:val="both"/>
        <w:rPr>
          <w:rFonts w:ascii="Bookman Old Style" w:hAnsi="Bookman Old Style" w:cs="Times New Roman"/>
          <w:color w:val="000000" w:themeColor="text1"/>
          <w:sz w:val="24"/>
          <w:szCs w:val="24"/>
        </w:rPr>
      </w:pPr>
    </w:p>
    <w:p w:rsidR="000C0D92" w:rsidRPr="000C0D92" w:rsidRDefault="000C0D92" w:rsidP="000C0D92">
      <w:pPr>
        <w:jc w:val="both"/>
        <w:rPr>
          <w:rFonts w:ascii="Bookman Old Style" w:hAnsi="Bookman Old Style" w:cs="Times New Roman"/>
          <w:b/>
          <w:color w:val="000000" w:themeColor="text1"/>
          <w:sz w:val="24"/>
          <w:szCs w:val="24"/>
        </w:rPr>
      </w:pPr>
      <w:r w:rsidRPr="000C0D92">
        <w:rPr>
          <w:rFonts w:ascii="Bookman Old Style" w:hAnsi="Bookman Old Style" w:cs="Times New Roman"/>
          <w:b/>
          <w:color w:val="000000" w:themeColor="text1"/>
          <w:sz w:val="24"/>
          <w:szCs w:val="24"/>
        </w:rPr>
        <w:t>Conclusão a respeito da Meta:</w:t>
      </w:r>
    </w:p>
    <w:p w:rsidR="00704102" w:rsidRPr="00B3094D" w:rsidRDefault="000C0D92" w:rsidP="000C0D92">
      <w:pPr>
        <w:ind w:firstLine="567"/>
        <w:jc w:val="both"/>
        <w:rPr>
          <w:rFonts w:ascii="Bookman Old Style" w:hAnsi="Bookman Old Style" w:cs="Times New Roman"/>
          <w:color w:val="000000" w:themeColor="text1"/>
          <w:sz w:val="24"/>
          <w:szCs w:val="24"/>
        </w:rPr>
      </w:pPr>
      <w:r w:rsidRPr="000C0D92">
        <w:rPr>
          <w:rFonts w:ascii="Bookman Old Style" w:hAnsi="Bookman Old Style" w:cs="Times New Roman"/>
          <w:color w:val="000000" w:themeColor="text1"/>
          <w:sz w:val="24"/>
          <w:szCs w:val="24"/>
        </w:rPr>
        <w:t>Esta meta que prevê as taxa bruta de matrículas e de escolarização do ensino superior na população dos 18 aos 24, delineia a respeito da inclusão social de todas as pessoas nesta faixa etária. A educação superior é de suma relevância para a qualificação profissional, social e intelectual dos indivíduos, onde elas terão maiores condições de competir no mercado de trabalho. Há também de atentarmos para a grande e importante contribuição que pessoas com maiores graus de instrução terem a real possibilidade de exercerem a cidadania.</w:t>
      </w:r>
    </w:p>
    <w:p w:rsidR="00704102" w:rsidRPr="00B3094D" w:rsidRDefault="00704102" w:rsidP="002E00DD">
      <w:pPr>
        <w:jc w:val="both"/>
        <w:rPr>
          <w:rFonts w:ascii="Bookman Old Style" w:hAnsi="Bookman Old Style" w:cs="Times New Roman"/>
          <w:color w:val="000000" w:themeColor="text1"/>
          <w:sz w:val="24"/>
          <w:szCs w:val="24"/>
        </w:rPr>
      </w:pPr>
    </w:p>
    <w:p w:rsidR="00F76E84" w:rsidRPr="00D81FEF" w:rsidRDefault="00FC3746" w:rsidP="00D81FEF">
      <w:pPr>
        <w:pStyle w:val="Ttulo1"/>
        <w:numPr>
          <w:ilvl w:val="0"/>
          <w:numId w:val="24"/>
        </w:numPr>
        <w:rPr>
          <w:rFonts w:ascii="Bookman Old Style" w:hAnsi="Bookman Old Style"/>
          <w:color w:val="auto"/>
          <w:sz w:val="24"/>
          <w:szCs w:val="24"/>
        </w:rPr>
      </w:pPr>
      <w:bookmarkStart w:id="16" w:name="_Toc497809482"/>
      <w:r w:rsidRPr="00D81FEF">
        <w:rPr>
          <w:rFonts w:ascii="Bookman Old Style" w:hAnsi="Bookman Old Style"/>
          <w:color w:val="auto"/>
        </w:rPr>
        <w:t xml:space="preserve">Meta sobre </w:t>
      </w:r>
      <w:r w:rsidR="00216EAD" w:rsidRPr="00D81FEF">
        <w:rPr>
          <w:rFonts w:ascii="Bookman Old Style" w:hAnsi="Bookman Old Style"/>
          <w:color w:val="auto"/>
        </w:rPr>
        <w:t>a Titulação de Professores da Educação Superior</w:t>
      </w:r>
      <w:bookmarkEnd w:id="16"/>
    </w:p>
    <w:p w:rsidR="00A158C9" w:rsidRPr="00B3094D" w:rsidRDefault="00A158C9" w:rsidP="00BB653D">
      <w:pPr>
        <w:pStyle w:val="PargrafodaLista"/>
        <w:ind w:left="927"/>
        <w:jc w:val="both"/>
        <w:rPr>
          <w:rFonts w:ascii="Bookman Old Style" w:hAnsi="Bookman Old Style" w:cs="Times New Roman"/>
          <w:b/>
          <w:color w:val="000000" w:themeColor="text1"/>
          <w:sz w:val="24"/>
          <w:szCs w:val="24"/>
        </w:rPr>
      </w:pPr>
    </w:p>
    <w:p w:rsidR="00A158C9" w:rsidRPr="00B3094D" w:rsidRDefault="00A158C9" w:rsidP="00BB653D">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Meta</w:t>
      </w:r>
      <w:r w:rsidR="00BB653D">
        <w:rPr>
          <w:rFonts w:ascii="Bookman Old Style" w:hAnsi="Bookman Old Style" w:cs="Times New Roman"/>
          <w:b/>
          <w:color w:val="000000" w:themeColor="text1"/>
          <w:sz w:val="24"/>
          <w:szCs w:val="24"/>
        </w:rPr>
        <w:t xml:space="preserve"> nº. 13: </w:t>
      </w:r>
      <w:r w:rsidR="00BB653D" w:rsidRPr="00BB653D">
        <w:rPr>
          <w:rFonts w:ascii="Bookman Old Style" w:hAnsi="Bookman Old Style" w:cs="Times New Roman"/>
          <w:b/>
          <w:color w:val="000000" w:themeColor="text1"/>
          <w:sz w:val="24"/>
          <w:szCs w:val="24"/>
        </w:rPr>
        <w:t>Elevar a qualidade da educação superior pela ampliação da proporção de mestres e doutores do corpo docente em efetivo exercício no conjunto do sistema de educação superior para 75%, sendo, do total, no mínimo 35% de doutores.</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BB653D" w:rsidRPr="00D049A9" w:rsidTr="00BB653D">
        <w:trPr>
          <w:gridBefore w:val="1"/>
          <w:wBefore w:w="1456" w:type="dxa"/>
          <w:trHeight w:val="948"/>
        </w:trPr>
        <w:tc>
          <w:tcPr>
            <w:tcW w:w="1330" w:type="dxa"/>
            <w:vAlign w:val="center"/>
          </w:tcPr>
          <w:p w:rsidR="00BB653D" w:rsidRPr="00D049A9" w:rsidRDefault="00BB653D" w:rsidP="00BB653D">
            <w:pPr>
              <w:rPr>
                <w:rFonts w:ascii="Bookman Old Style" w:hAnsi="Bookman Old Style" w:cs="Times New Roman"/>
                <w:color w:val="000000" w:themeColor="text1"/>
                <w:sz w:val="20"/>
                <w:szCs w:val="20"/>
              </w:rPr>
            </w:pPr>
          </w:p>
          <w:p w:rsidR="00BB653D"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B653D" w:rsidRPr="00D049A9" w:rsidRDefault="00BB653D" w:rsidP="00BB653D">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13 A</w:t>
            </w:r>
          </w:p>
          <w:p w:rsidR="00BB653D" w:rsidRPr="00D049A9" w:rsidRDefault="00BB653D" w:rsidP="00BB653D">
            <w:pPr>
              <w:jc w:val="center"/>
              <w:rPr>
                <w:rFonts w:ascii="Bookman Old Style" w:hAnsi="Bookman Old Style" w:cs="Times New Roman"/>
                <w:color w:val="000000" w:themeColor="text1"/>
                <w:sz w:val="20"/>
                <w:szCs w:val="20"/>
              </w:rPr>
            </w:pPr>
          </w:p>
        </w:tc>
        <w:tc>
          <w:tcPr>
            <w:tcW w:w="7640" w:type="dxa"/>
            <w:gridSpan w:val="3"/>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BB653D">
              <w:rPr>
                <w:rFonts w:ascii="Bookman Old Style" w:hAnsi="Bookman Old Style" w:cs="Times New Roman"/>
                <w:b/>
                <w:color w:val="000000" w:themeColor="text1"/>
                <w:sz w:val="20"/>
                <w:szCs w:val="20"/>
              </w:rPr>
              <w:t>Percentual de docentes com Mestrado ou Doutorado na Educação Superior.</w:t>
            </w:r>
          </w:p>
        </w:tc>
      </w:tr>
      <w:tr w:rsidR="00BB653D" w:rsidRPr="00D049A9" w:rsidTr="00BB653D">
        <w:tblPrEx>
          <w:tblCellMar>
            <w:left w:w="108" w:type="dxa"/>
            <w:right w:w="108" w:type="dxa"/>
          </w:tblCellMar>
          <w:tblLook w:val="04A0"/>
        </w:tblPrEx>
        <w:trPr>
          <w:gridBefore w:val="1"/>
          <w:wBefore w:w="1456" w:type="dxa"/>
          <w:trHeight w:val="325"/>
        </w:trPr>
        <w:tc>
          <w:tcPr>
            <w:tcW w:w="1330"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B653D" w:rsidRPr="00D049A9" w:rsidTr="00BB653D">
        <w:trPr>
          <w:trHeight w:val="284"/>
        </w:trPr>
        <w:tc>
          <w:tcPr>
            <w:tcW w:w="1456" w:type="dxa"/>
            <w:vMerge w:val="restart"/>
            <w:tcBorders>
              <w:top w:val="nil"/>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restart"/>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r w:rsidRPr="00BB653D">
              <w:rPr>
                <w:rFonts w:ascii="Bookman Old Style" w:hAnsi="Bookman Old Style" w:cs="Times New Roman"/>
                <w:color w:val="000000" w:themeColor="text1"/>
                <w:sz w:val="20"/>
                <w:szCs w:val="20"/>
              </w:rPr>
              <w:t xml:space="preserve">Não se </w:t>
            </w:r>
            <w:proofErr w:type="gramStart"/>
            <w:r w:rsidRPr="00BB653D">
              <w:rPr>
                <w:rFonts w:ascii="Bookman Old Style" w:hAnsi="Bookman Old Style" w:cs="Times New Roman"/>
                <w:color w:val="000000" w:themeColor="text1"/>
                <w:sz w:val="20"/>
                <w:szCs w:val="20"/>
              </w:rPr>
              <w:t>Aplica,</w:t>
            </w:r>
            <w:proofErr w:type="gramEnd"/>
            <w:r w:rsidRPr="00BB653D">
              <w:rPr>
                <w:rFonts w:ascii="Bookman Old Style" w:hAnsi="Bookman Old Style" w:cs="Times New Roman"/>
                <w:color w:val="000000" w:themeColor="text1"/>
                <w:sz w:val="20"/>
                <w:szCs w:val="20"/>
              </w:rPr>
              <w:t xml:space="preserve"> Município não dispõe de oferta do Ensino Superior, seja ele na Rede Pública e Privada – Indicador não mensurável.</w:t>
            </w:r>
          </w:p>
        </w:tc>
      </w:tr>
      <w:tr w:rsidR="00BB653D" w:rsidRPr="00D049A9" w:rsidTr="00BB653D">
        <w:trPr>
          <w:trHeight w:val="284"/>
        </w:trPr>
        <w:tc>
          <w:tcPr>
            <w:tcW w:w="1456" w:type="dxa"/>
            <w:vMerge/>
            <w:tcBorders>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p>
        </w:tc>
      </w:tr>
    </w:tbl>
    <w:p w:rsidR="00065667" w:rsidRDefault="00065667" w:rsidP="00D022A1">
      <w:pPr>
        <w:jc w:val="center"/>
        <w:rPr>
          <w:rFonts w:ascii="Bookman Old Style" w:hAnsi="Bookman Old Style" w:cs="Times New Roman"/>
          <w:color w:val="000000" w:themeColor="text1"/>
          <w:sz w:val="24"/>
          <w:szCs w:val="24"/>
        </w:rPr>
      </w:pPr>
    </w:p>
    <w:p w:rsidR="00D81FEF" w:rsidRPr="00B3094D" w:rsidRDefault="00D81FEF" w:rsidP="00D022A1">
      <w:pPr>
        <w:jc w:val="center"/>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BB653D" w:rsidRPr="00D049A9" w:rsidTr="00BB653D">
        <w:trPr>
          <w:gridBefore w:val="1"/>
          <w:wBefore w:w="1456" w:type="dxa"/>
          <w:trHeight w:val="948"/>
        </w:trPr>
        <w:tc>
          <w:tcPr>
            <w:tcW w:w="1330" w:type="dxa"/>
            <w:vAlign w:val="center"/>
          </w:tcPr>
          <w:p w:rsidR="00BB653D" w:rsidRPr="00D049A9" w:rsidRDefault="00BB653D" w:rsidP="00BB653D">
            <w:pPr>
              <w:rPr>
                <w:rFonts w:ascii="Bookman Old Style" w:hAnsi="Bookman Old Style" w:cs="Times New Roman"/>
                <w:color w:val="000000" w:themeColor="text1"/>
                <w:sz w:val="20"/>
                <w:szCs w:val="20"/>
              </w:rPr>
            </w:pPr>
          </w:p>
          <w:p w:rsidR="00BB653D"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B653D" w:rsidRPr="00D049A9" w:rsidRDefault="00BB653D" w:rsidP="00BB653D">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13 B</w:t>
            </w:r>
          </w:p>
          <w:p w:rsidR="00BB653D" w:rsidRPr="00D049A9" w:rsidRDefault="00BB653D" w:rsidP="00BB653D">
            <w:pPr>
              <w:jc w:val="center"/>
              <w:rPr>
                <w:rFonts w:ascii="Bookman Old Style" w:hAnsi="Bookman Old Style" w:cs="Times New Roman"/>
                <w:color w:val="000000" w:themeColor="text1"/>
                <w:sz w:val="20"/>
                <w:szCs w:val="20"/>
              </w:rPr>
            </w:pPr>
          </w:p>
        </w:tc>
        <w:tc>
          <w:tcPr>
            <w:tcW w:w="7640" w:type="dxa"/>
            <w:gridSpan w:val="3"/>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BB653D">
              <w:rPr>
                <w:rFonts w:ascii="Bookman Old Style" w:hAnsi="Bookman Old Style" w:cs="Times New Roman"/>
                <w:b/>
                <w:color w:val="000000" w:themeColor="text1"/>
                <w:sz w:val="20"/>
                <w:szCs w:val="20"/>
              </w:rPr>
              <w:t>Percentual de docentes com Doutorado na Educação Superior.</w:t>
            </w:r>
          </w:p>
        </w:tc>
      </w:tr>
      <w:tr w:rsidR="00BB653D" w:rsidRPr="00D049A9" w:rsidTr="00BB653D">
        <w:tblPrEx>
          <w:tblCellMar>
            <w:left w:w="108" w:type="dxa"/>
            <w:right w:w="108" w:type="dxa"/>
          </w:tblCellMar>
          <w:tblLook w:val="04A0"/>
        </w:tblPrEx>
        <w:trPr>
          <w:gridBefore w:val="1"/>
          <w:wBefore w:w="1456" w:type="dxa"/>
          <w:trHeight w:val="325"/>
        </w:trPr>
        <w:tc>
          <w:tcPr>
            <w:tcW w:w="1330"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B653D" w:rsidRPr="00D049A9" w:rsidTr="00BB653D">
        <w:trPr>
          <w:trHeight w:val="284"/>
        </w:trPr>
        <w:tc>
          <w:tcPr>
            <w:tcW w:w="1456" w:type="dxa"/>
            <w:vMerge w:val="restart"/>
            <w:tcBorders>
              <w:top w:val="nil"/>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restart"/>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r w:rsidRPr="00BB653D">
              <w:rPr>
                <w:rFonts w:ascii="Bookman Old Style" w:hAnsi="Bookman Old Style" w:cs="Times New Roman"/>
                <w:color w:val="000000" w:themeColor="text1"/>
                <w:sz w:val="20"/>
                <w:szCs w:val="20"/>
              </w:rPr>
              <w:t xml:space="preserve">Não se </w:t>
            </w:r>
            <w:proofErr w:type="gramStart"/>
            <w:r w:rsidRPr="00BB653D">
              <w:rPr>
                <w:rFonts w:ascii="Bookman Old Style" w:hAnsi="Bookman Old Style" w:cs="Times New Roman"/>
                <w:color w:val="000000" w:themeColor="text1"/>
                <w:sz w:val="20"/>
                <w:szCs w:val="20"/>
              </w:rPr>
              <w:t>Aplica,</w:t>
            </w:r>
            <w:proofErr w:type="gramEnd"/>
            <w:r w:rsidRPr="00BB653D">
              <w:rPr>
                <w:rFonts w:ascii="Bookman Old Style" w:hAnsi="Bookman Old Style" w:cs="Times New Roman"/>
                <w:color w:val="000000" w:themeColor="text1"/>
                <w:sz w:val="20"/>
                <w:szCs w:val="20"/>
              </w:rPr>
              <w:t xml:space="preserve"> Município não dispõe de oferta do Ensino Superior, seja ele na Rede Pública e Privada – Indicador não mensurável.</w:t>
            </w:r>
          </w:p>
        </w:tc>
      </w:tr>
      <w:tr w:rsidR="00BB653D" w:rsidRPr="00D049A9" w:rsidTr="00BB653D">
        <w:trPr>
          <w:trHeight w:val="284"/>
        </w:trPr>
        <w:tc>
          <w:tcPr>
            <w:tcW w:w="1456" w:type="dxa"/>
            <w:vMerge/>
            <w:tcBorders>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p>
        </w:tc>
      </w:tr>
    </w:tbl>
    <w:p w:rsidR="00D81FEF" w:rsidRDefault="00D81FEF" w:rsidP="00BB653D">
      <w:pPr>
        <w:jc w:val="both"/>
        <w:rPr>
          <w:rFonts w:ascii="Bookman Old Style" w:hAnsi="Bookman Old Style" w:cs="Times New Roman"/>
          <w:b/>
          <w:color w:val="000000" w:themeColor="text1"/>
          <w:sz w:val="24"/>
          <w:szCs w:val="24"/>
        </w:rPr>
      </w:pPr>
    </w:p>
    <w:p w:rsidR="00BB653D" w:rsidRPr="00BB653D" w:rsidRDefault="00BB653D" w:rsidP="00BB653D">
      <w:pPr>
        <w:jc w:val="both"/>
        <w:rPr>
          <w:rFonts w:ascii="Bookman Old Style" w:hAnsi="Bookman Old Style" w:cs="Times New Roman"/>
          <w:b/>
          <w:color w:val="000000" w:themeColor="text1"/>
          <w:sz w:val="24"/>
          <w:szCs w:val="24"/>
        </w:rPr>
      </w:pPr>
      <w:r w:rsidRPr="00BB653D">
        <w:rPr>
          <w:rFonts w:ascii="Bookman Old Style" w:hAnsi="Bookman Old Style" w:cs="Times New Roman"/>
          <w:b/>
          <w:color w:val="000000" w:themeColor="text1"/>
          <w:sz w:val="24"/>
          <w:szCs w:val="24"/>
        </w:rPr>
        <w:t>Contextualização da Meta:</w:t>
      </w:r>
    </w:p>
    <w:p w:rsidR="00BB653D" w:rsidRPr="00B3094D" w:rsidRDefault="00BB653D" w:rsidP="00BB653D">
      <w:pPr>
        <w:jc w:val="both"/>
        <w:rPr>
          <w:rFonts w:ascii="Bookman Old Style" w:hAnsi="Bookman Old Style" w:cs="Times New Roman"/>
          <w:color w:val="000000" w:themeColor="text1"/>
          <w:sz w:val="24"/>
          <w:szCs w:val="24"/>
        </w:rPr>
      </w:pPr>
      <w:r w:rsidRPr="00BB653D">
        <w:rPr>
          <w:rFonts w:ascii="Bookman Old Style" w:hAnsi="Bookman Old Style" w:cs="Times New Roman"/>
          <w:color w:val="000000" w:themeColor="text1"/>
          <w:sz w:val="24"/>
          <w:szCs w:val="24"/>
        </w:rPr>
        <w:t>A meta de número 13 do Plano Municipal de Educação objetiva elevar a qualidade da educação superior pela ampliação da proporção de mestres e doutores do corpo docente em efetivo exercício no conjunto do sistema de educação superior para 75%, sendo, do total, no mínimo 35% de doutores. Com relação a esta meta e de acordo com o relatório do monitoramento, podemos inferir que o Município não dispõe de oferta do Ensino Superior, seja ele na Rede Pública ou Privada – Indicador não mensurável.</w:t>
      </w:r>
    </w:p>
    <w:p w:rsidR="00A158C9" w:rsidRDefault="00D81FEF" w:rsidP="00D81FEF">
      <w:pPr>
        <w:pStyle w:val="Ttulo1"/>
        <w:rPr>
          <w:rFonts w:ascii="Bookman Old Style" w:hAnsi="Bookman Old Style"/>
          <w:color w:val="auto"/>
        </w:rPr>
      </w:pPr>
      <w:bookmarkStart w:id="17" w:name="_Toc497809483"/>
      <w:r w:rsidRPr="00D81FEF">
        <w:rPr>
          <w:rFonts w:ascii="Bookman Old Style" w:hAnsi="Bookman Old Style"/>
          <w:color w:val="auto"/>
        </w:rPr>
        <w:t xml:space="preserve">XVI. </w:t>
      </w:r>
      <w:r w:rsidR="00FC3746" w:rsidRPr="00D81FEF">
        <w:rPr>
          <w:rFonts w:ascii="Bookman Old Style" w:hAnsi="Bookman Old Style"/>
          <w:color w:val="auto"/>
        </w:rPr>
        <w:t>Meta sobre Pós-Graduação</w:t>
      </w:r>
      <w:bookmarkEnd w:id="17"/>
    </w:p>
    <w:p w:rsidR="00D81FEF" w:rsidRPr="00D81FEF" w:rsidRDefault="00D81FEF" w:rsidP="00D81FEF"/>
    <w:p w:rsidR="00A158C9" w:rsidRPr="00B3094D" w:rsidRDefault="00A158C9" w:rsidP="00BB653D">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BB653D">
        <w:rPr>
          <w:rFonts w:ascii="Bookman Old Style" w:hAnsi="Bookman Old Style" w:cs="Times New Roman"/>
          <w:b/>
          <w:color w:val="000000" w:themeColor="text1"/>
          <w:sz w:val="24"/>
          <w:szCs w:val="24"/>
        </w:rPr>
        <w:t xml:space="preserve">nº. 14: </w:t>
      </w:r>
      <w:r w:rsidR="00BB653D" w:rsidRPr="00BB653D">
        <w:rPr>
          <w:rFonts w:ascii="Bookman Old Style" w:hAnsi="Bookman Old Style" w:cs="Times New Roman"/>
          <w:b/>
          <w:color w:val="000000" w:themeColor="text1"/>
          <w:sz w:val="24"/>
          <w:szCs w:val="24"/>
        </w:rPr>
        <w:t xml:space="preserve">Elevar gradualmente o número de matrículas na pós-graduação </w:t>
      </w:r>
      <w:proofErr w:type="spellStart"/>
      <w:r w:rsidR="00BB653D" w:rsidRPr="00BB653D">
        <w:rPr>
          <w:rFonts w:ascii="Bookman Old Style" w:hAnsi="Bookman Old Style" w:cs="Times New Roman"/>
          <w:b/>
          <w:color w:val="000000" w:themeColor="text1"/>
          <w:sz w:val="24"/>
          <w:szCs w:val="24"/>
        </w:rPr>
        <w:t>stricto</w:t>
      </w:r>
      <w:proofErr w:type="spellEnd"/>
      <w:r w:rsidR="00BB653D" w:rsidRPr="00BB653D">
        <w:rPr>
          <w:rFonts w:ascii="Bookman Old Style" w:hAnsi="Bookman Old Style" w:cs="Times New Roman"/>
          <w:b/>
          <w:color w:val="000000" w:themeColor="text1"/>
          <w:sz w:val="24"/>
          <w:szCs w:val="24"/>
        </w:rPr>
        <w:t xml:space="preserve"> </w:t>
      </w:r>
      <w:proofErr w:type="spellStart"/>
      <w:r w:rsidR="00BB653D" w:rsidRPr="00BB653D">
        <w:rPr>
          <w:rFonts w:ascii="Bookman Old Style" w:hAnsi="Bookman Old Style" w:cs="Times New Roman"/>
          <w:b/>
          <w:color w:val="000000" w:themeColor="text1"/>
          <w:sz w:val="24"/>
          <w:szCs w:val="24"/>
        </w:rPr>
        <w:t>sensu</w:t>
      </w:r>
      <w:proofErr w:type="spellEnd"/>
      <w:r w:rsidR="00BB653D" w:rsidRPr="00BB653D">
        <w:rPr>
          <w:rFonts w:ascii="Bookman Old Style" w:hAnsi="Bookman Old Style" w:cs="Times New Roman"/>
          <w:b/>
          <w:color w:val="000000" w:themeColor="text1"/>
          <w:sz w:val="24"/>
          <w:szCs w:val="24"/>
        </w:rPr>
        <w:t>, de modo a atingir a titulação anual de 60 mil mestres e 25 mil doutores.</w:t>
      </w: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BB653D" w:rsidRPr="00D049A9" w:rsidTr="00BB653D">
        <w:trPr>
          <w:gridBefore w:val="1"/>
          <w:wBefore w:w="1456" w:type="dxa"/>
          <w:trHeight w:val="948"/>
        </w:trPr>
        <w:tc>
          <w:tcPr>
            <w:tcW w:w="1330" w:type="dxa"/>
            <w:vAlign w:val="center"/>
          </w:tcPr>
          <w:p w:rsidR="00BB653D" w:rsidRPr="00D049A9" w:rsidRDefault="00BB653D" w:rsidP="00BB653D">
            <w:pPr>
              <w:rPr>
                <w:rFonts w:ascii="Bookman Old Style" w:hAnsi="Bookman Old Style" w:cs="Times New Roman"/>
                <w:color w:val="000000" w:themeColor="text1"/>
                <w:sz w:val="20"/>
                <w:szCs w:val="20"/>
              </w:rPr>
            </w:pPr>
          </w:p>
          <w:p w:rsidR="00BB653D"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B653D" w:rsidRPr="00D049A9" w:rsidRDefault="00BB653D" w:rsidP="00BB653D">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14 A</w:t>
            </w:r>
          </w:p>
          <w:p w:rsidR="00BB653D" w:rsidRPr="00D049A9" w:rsidRDefault="00BB653D" w:rsidP="00BB653D">
            <w:pPr>
              <w:jc w:val="center"/>
              <w:rPr>
                <w:rFonts w:ascii="Bookman Old Style" w:hAnsi="Bookman Old Style" w:cs="Times New Roman"/>
                <w:color w:val="000000" w:themeColor="text1"/>
                <w:sz w:val="20"/>
                <w:szCs w:val="20"/>
              </w:rPr>
            </w:pPr>
          </w:p>
        </w:tc>
        <w:tc>
          <w:tcPr>
            <w:tcW w:w="7640" w:type="dxa"/>
            <w:gridSpan w:val="3"/>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BB653D">
              <w:rPr>
                <w:rFonts w:ascii="Bookman Old Style" w:hAnsi="Bookman Old Style" w:cs="Times New Roman"/>
                <w:b/>
                <w:color w:val="000000" w:themeColor="text1"/>
                <w:sz w:val="20"/>
                <w:szCs w:val="20"/>
              </w:rPr>
              <w:t>Número de títulos de mestrado concedidos por ano.</w:t>
            </w:r>
          </w:p>
        </w:tc>
      </w:tr>
      <w:tr w:rsidR="00BB653D" w:rsidRPr="00D049A9" w:rsidTr="00BB653D">
        <w:tblPrEx>
          <w:tblCellMar>
            <w:left w:w="108" w:type="dxa"/>
            <w:right w:w="108" w:type="dxa"/>
          </w:tblCellMar>
          <w:tblLook w:val="04A0"/>
        </w:tblPrEx>
        <w:trPr>
          <w:gridBefore w:val="1"/>
          <w:wBefore w:w="1456" w:type="dxa"/>
          <w:trHeight w:val="325"/>
        </w:trPr>
        <w:tc>
          <w:tcPr>
            <w:tcW w:w="1330"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B653D" w:rsidRPr="00D049A9" w:rsidTr="00BB653D">
        <w:trPr>
          <w:trHeight w:val="284"/>
        </w:trPr>
        <w:tc>
          <w:tcPr>
            <w:tcW w:w="1456" w:type="dxa"/>
            <w:vMerge w:val="restart"/>
            <w:tcBorders>
              <w:top w:val="nil"/>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restart"/>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r w:rsidRPr="00BB653D">
              <w:rPr>
                <w:rFonts w:ascii="Bookman Old Style" w:hAnsi="Bookman Old Style" w:cs="Times New Roman"/>
                <w:color w:val="000000" w:themeColor="text1"/>
                <w:sz w:val="20"/>
                <w:szCs w:val="20"/>
              </w:rPr>
              <w:t xml:space="preserve">Não se </w:t>
            </w:r>
            <w:proofErr w:type="gramStart"/>
            <w:r w:rsidRPr="00BB653D">
              <w:rPr>
                <w:rFonts w:ascii="Bookman Old Style" w:hAnsi="Bookman Old Style" w:cs="Times New Roman"/>
                <w:color w:val="000000" w:themeColor="text1"/>
                <w:sz w:val="20"/>
                <w:szCs w:val="20"/>
              </w:rPr>
              <w:t>Aplica,</w:t>
            </w:r>
            <w:proofErr w:type="gramEnd"/>
            <w:r w:rsidRPr="00BB653D">
              <w:rPr>
                <w:rFonts w:ascii="Bookman Old Style" w:hAnsi="Bookman Old Style" w:cs="Times New Roman"/>
                <w:color w:val="000000" w:themeColor="text1"/>
                <w:sz w:val="20"/>
                <w:szCs w:val="20"/>
              </w:rPr>
              <w:t xml:space="preserve"> Município não dispõe de oferta do Ensino Superior, seja ele na Rede Pública e Privada – Indicador não mensurável.</w:t>
            </w:r>
          </w:p>
        </w:tc>
      </w:tr>
      <w:tr w:rsidR="00BB653D" w:rsidRPr="00D049A9" w:rsidTr="00490E4D">
        <w:trPr>
          <w:trHeight w:val="70"/>
        </w:trPr>
        <w:tc>
          <w:tcPr>
            <w:tcW w:w="1456" w:type="dxa"/>
            <w:vMerge/>
            <w:tcBorders>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p>
        </w:tc>
      </w:tr>
    </w:tbl>
    <w:p w:rsidR="00A02FF5" w:rsidRPr="00B3094D" w:rsidRDefault="00A02FF5" w:rsidP="002E00DD">
      <w:pPr>
        <w:jc w:val="both"/>
        <w:rPr>
          <w:rFonts w:ascii="Bookman Old Style" w:hAnsi="Bookman Old Style" w:cs="Times New Roman"/>
          <w:color w:val="000000" w:themeColor="text1"/>
          <w:sz w:val="24"/>
          <w:szCs w:val="24"/>
        </w:rPr>
      </w:pPr>
    </w:p>
    <w:p w:rsidR="00FF353F" w:rsidRPr="00B3094D" w:rsidRDefault="00FF353F" w:rsidP="002E00DD">
      <w:pPr>
        <w:jc w:val="both"/>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56"/>
        <w:gridCol w:w="1330"/>
        <w:gridCol w:w="1292"/>
        <w:gridCol w:w="1699"/>
        <w:gridCol w:w="4649"/>
      </w:tblGrid>
      <w:tr w:rsidR="00BB653D" w:rsidRPr="00D049A9" w:rsidTr="00BB653D">
        <w:trPr>
          <w:gridBefore w:val="1"/>
          <w:wBefore w:w="1456" w:type="dxa"/>
          <w:trHeight w:val="948"/>
        </w:trPr>
        <w:tc>
          <w:tcPr>
            <w:tcW w:w="1330" w:type="dxa"/>
            <w:vAlign w:val="center"/>
          </w:tcPr>
          <w:p w:rsidR="00BB653D" w:rsidRPr="00D049A9" w:rsidRDefault="00BB653D" w:rsidP="00BB653D">
            <w:pPr>
              <w:rPr>
                <w:rFonts w:ascii="Bookman Old Style" w:hAnsi="Bookman Old Style" w:cs="Times New Roman"/>
                <w:color w:val="000000" w:themeColor="text1"/>
                <w:sz w:val="20"/>
                <w:szCs w:val="20"/>
              </w:rPr>
            </w:pPr>
          </w:p>
          <w:p w:rsidR="00BB653D"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B653D" w:rsidRPr="00D049A9" w:rsidRDefault="00BB653D" w:rsidP="00BB653D">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14 B</w:t>
            </w:r>
          </w:p>
          <w:p w:rsidR="00BB653D" w:rsidRPr="00D049A9" w:rsidRDefault="00BB653D" w:rsidP="00BB653D">
            <w:pPr>
              <w:jc w:val="center"/>
              <w:rPr>
                <w:rFonts w:ascii="Bookman Old Style" w:hAnsi="Bookman Old Style" w:cs="Times New Roman"/>
                <w:color w:val="000000" w:themeColor="text1"/>
                <w:sz w:val="20"/>
                <w:szCs w:val="20"/>
              </w:rPr>
            </w:pPr>
          </w:p>
        </w:tc>
        <w:tc>
          <w:tcPr>
            <w:tcW w:w="7640" w:type="dxa"/>
            <w:gridSpan w:val="3"/>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BB653D">
              <w:rPr>
                <w:rFonts w:ascii="Bookman Old Style" w:hAnsi="Bookman Old Style" w:cs="Times New Roman"/>
                <w:b/>
                <w:color w:val="000000" w:themeColor="text1"/>
                <w:sz w:val="20"/>
                <w:szCs w:val="20"/>
              </w:rPr>
              <w:t>Número de títulos de doutorado concedidos por ano.</w:t>
            </w:r>
          </w:p>
        </w:tc>
      </w:tr>
      <w:tr w:rsidR="00BB653D" w:rsidRPr="00D049A9" w:rsidTr="00BB653D">
        <w:tblPrEx>
          <w:tblCellMar>
            <w:left w:w="108" w:type="dxa"/>
            <w:right w:w="108" w:type="dxa"/>
          </w:tblCellMar>
          <w:tblLook w:val="04A0"/>
        </w:tblPrEx>
        <w:trPr>
          <w:gridBefore w:val="1"/>
          <w:wBefore w:w="1456" w:type="dxa"/>
          <w:trHeight w:val="325"/>
        </w:trPr>
        <w:tc>
          <w:tcPr>
            <w:tcW w:w="1330"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B653D" w:rsidRPr="00D049A9" w:rsidTr="00BB653D">
        <w:trPr>
          <w:trHeight w:val="284"/>
        </w:trPr>
        <w:tc>
          <w:tcPr>
            <w:tcW w:w="1456" w:type="dxa"/>
            <w:vMerge w:val="restart"/>
            <w:tcBorders>
              <w:top w:val="nil"/>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restart"/>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r w:rsidRPr="00BB653D">
              <w:rPr>
                <w:rFonts w:ascii="Bookman Old Style" w:hAnsi="Bookman Old Style" w:cs="Times New Roman"/>
                <w:color w:val="000000" w:themeColor="text1"/>
                <w:sz w:val="20"/>
                <w:szCs w:val="20"/>
              </w:rPr>
              <w:t xml:space="preserve">Não se </w:t>
            </w:r>
            <w:proofErr w:type="gramStart"/>
            <w:r w:rsidRPr="00BB653D">
              <w:rPr>
                <w:rFonts w:ascii="Bookman Old Style" w:hAnsi="Bookman Old Style" w:cs="Times New Roman"/>
                <w:color w:val="000000" w:themeColor="text1"/>
                <w:sz w:val="20"/>
                <w:szCs w:val="20"/>
              </w:rPr>
              <w:t>Aplica,</w:t>
            </w:r>
            <w:proofErr w:type="gramEnd"/>
            <w:r w:rsidRPr="00BB653D">
              <w:rPr>
                <w:rFonts w:ascii="Bookman Old Style" w:hAnsi="Bookman Old Style" w:cs="Times New Roman"/>
                <w:color w:val="000000" w:themeColor="text1"/>
                <w:sz w:val="20"/>
                <w:szCs w:val="20"/>
              </w:rPr>
              <w:t xml:space="preserve"> Município não dispõe de oferta do Ensino Superior, seja ele na Rede Pública e Privada – Indicador não mensurável.</w:t>
            </w:r>
          </w:p>
        </w:tc>
      </w:tr>
      <w:tr w:rsidR="00BB653D" w:rsidRPr="00D049A9" w:rsidTr="00BB653D">
        <w:trPr>
          <w:trHeight w:val="284"/>
        </w:trPr>
        <w:tc>
          <w:tcPr>
            <w:tcW w:w="1456" w:type="dxa"/>
            <w:vMerge/>
            <w:tcBorders>
              <w:left w:val="nil"/>
              <w:bottom w:val="nil"/>
            </w:tcBorders>
            <w:shd w:val="clear" w:color="auto" w:fill="auto"/>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330" w:type="dxa"/>
            <w:vMerge/>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1292" w:type="dxa"/>
            <w:vAlign w:val="center"/>
          </w:tcPr>
          <w:p w:rsidR="00BB653D" w:rsidRPr="00D049A9" w:rsidRDefault="00BB653D" w:rsidP="00BB653D">
            <w:pPr>
              <w:jc w:val="center"/>
              <w:rPr>
                <w:rFonts w:ascii="Bookman Old Style" w:hAnsi="Bookman Old Style" w:cs="Times New Roman"/>
                <w:color w:val="000000" w:themeColor="text1"/>
                <w:sz w:val="20"/>
                <w:szCs w:val="20"/>
              </w:rPr>
            </w:pPr>
          </w:p>
        </w:tc>
        <w:tc>
          <w:tcPr>
            <w:tcW w:w="1699" w:type="dxa"/>
            <w:vAlign w:val="center"/>
          </w:tcPr>
          <w:p w:rsidR="00BB653D" w:rsidRPr="00D049A9" w:rsidRDefault="00BB653D" w:rsidP="00BB653D">
            <w:pPr>
              <w:jc w:val="center"/>
              <w:rPr>
                <w:rFonts w:ascii="Bookman Old Style" w:hAnsi="Bookman Old Style" w:cs="Times New Roman"/>
                <w:b/>
                <w:color w:val="000000" w:themeColor="text1"/>
                <w:sz w:val="20"/>
                <w:szCs w:val="20"/>
              </w:rPr>
            </w:pPr>
          </w:p>
        </w:tc>
        <w:tc>
          <w:tcPr>
            <w:tcW w:w="4649" w:type="dxa"/>
            <w:vAlign w:val="center"/>
          </w:tcPr>
          <w:p w:rsidR="00BB653D" w:rsidRPr="00D049A9" w:rsidRDefault="00BB653D" w:rsidP="00BB653D">
            <w:pPr>
              <w:jc w:val="both"/>
              <w:rPr>
                <w:rFonts w:ascii="Bookman Old Style" w:hAnsi="Bookman Old Style" w:cs="Times New Roman"/>
                <w:color w:val="000000" w:themeColor="text1"/>
                <w:sz w:val="20"/>
                <w:szCs w:val="20"/>
              </w:rPr>
            </w:pPr>
          </w:p>
        </w:tc>
      </w:tr>
    </w:tbl>
    <w:p w:rsidR="00FF353F" w:rsidRPr="00B3094D" w:rsidRDefault="00FF353F" w:rsidP="002E00DD">
      <w:pPr>
        <w:jc w:val="both"/>
        <w:rPr>
          <w:rFonts w:ascii="Bookman Old Style" w:hAnsi="Bookman Old Style" w:cs="Times New Roman"/>
          <w:color w:val="000000" w:themeColor="text1"/>
          <w:sz w:val="24"/>
          <w:szCs w:val="24"/>
        </w:rPr>
      </w:pPr>
    </w:p>
    <w:p w:rsidR="00BB653D" w:rsidRPr="00BB653D" w:rsidRDefault="00BB653D" w:rsidP="00BB653D">
      <w:pPr>
        <w:jc w:val="both"/>
        <w:rPr>
          <w:rFonts w:ascii="Bookman Old Style" w:hAnsi="Bookman Old Style" w:cs="Times New Roman"/>
          <w:b/>
          <w:color w:val="000000" w:themeColor="text1"/>
          <w:sz w:val="24"/>
          <w:szCs w:val="24"/>
        </w:rPr>
      </w:pPr>
      <w:r w:rsidRPr="00BB653D">
        <w:rPr>
          <w:rFonts w:ascii="Bookman Old Style" w:hAnsi="Bookman Old Style" w:cs="Times New Roman"/>
          <w:b/>
          <w:color w:val="000000" w:themeColor="text1"/>
          <w:sz w:val="24"/>
          <w:szCs w:val="24"/>
        </w:rPr>
        <w:t>Contextualização da Meta:</w:t>
      </w:r>
    </w:p>
    <w:p w:rsidR="00FF353F" w:rsidRPr="00B3094D" w:rsidRDefault="00BB653D" w:rsidP="00BB653D">
      <w:pPr>
        <w:ind w:firstLine="567"/>
        <w:jc w:val="both"/>
        <w:rPr>
          <w:rFonts w:ascii="Bookman Old Style" w:hAnsi="Bookman Old Style" w:cs="Times New Roman"/>
          <w:color w:val="000000" w:themeColor="text1"/>
          <w:sz w:val="24"/>
          <w:szCs w:val="24"/>
        </w:rPr>
      </w:pPr>
      <w:r w:rsidRPr="00BB653D">
        <w:rPr>
          <w:rFonts w:ascii="Bookman Old Style" w:hAnsi="Bookman Old Style" w:cs="Times New Roman"/>
          <w:color w:val="000000" w:themeColor="text1"/>
          <w:sz w:val="24"/>
          <w:szCs w:val="24"/>
        </w:rPr>
        <w:t xml:space="preserve">A meta de número 14 do Plano Municipal de Educação objetiva Elevar gradualmente o número de matrículas na pós-graduação </w:t>
      </w:r>
      <w:proofErr w:type="spellStart"/>
      <w:r w:rsidRPr="00BB653D">
        <w:rPr>
          <w:rFonts w:ascii="Bookman Old Style" w:hAnsi="Bookman Old Style" w:cs="Times New Roman"/>
          <w:color w:val="000000" w:themeColor="text1"/>
          <w:sz w:val="24"/>
          <w:szCs w:val="24"/>
        </w:rPr>
        <w:t>stricto</w:t>
      </w:r>
      <w:proofErr w:type="spellEnd"/>
      <w:r w:rsidRPr="00BB653D">
        <w:rPr>
          <w:rFonts w:ascii="Bookman Old Style" w:hAnsi="Bookman Old Style" w:cs="Times New Roman"/>
          <w:color w:val="000000" w:themeColor="text1"/>
          <w:sz w:val="24"/>
          <w:szCs w:val="24"/>
        </w:rPr>
        <w:t xml:space="preserve"> </w:t>
      </w:r>
      <w:proofErr w:type="spellStart"/>
      <w:r w:rsidRPr="00BB653D">
        <w:rPr>
          <w:rFonts w:ascii="Bookman Old Style" w:hAnsi="Bookman Old Style" w:cs="Times New Roman"/>
          <w:color w:val="000000" w:themeColor="text1"/>
          <w:sz w:val="24"/>
          <w:szCs w:val="24"/>
        </w:rPr>
        <w:t>sensu</w:t>
      </w:r>
      <w:proofErr w:type="spellEnd"/>
      <w:r w:rsidRPr="00BB653D">
        <w:rPr>
          <w:rFonts w:ascii="Bookman Old Style" w:hAnsi="Bookman Old Style" w:cs="Times New Roman"/>
          <w:color w:val="000000" w:themeColor="text1"/>
          <w:sz w:val="24"/>
          <w:szCs w:val="24"/>
        </w:rPr>
        <w:t>, de modo a atingir a titulação anual de 60 mil mestres e 25 mil doutores. Com relação a esta meta e de acordo com o relatório do monitoramento, podemos inferir que o Município não dispõe de oferta do Ensino Superior, seja ele na Rede Pública ou Privada – Indicador não mensurável.</w:t>
      </w:r>
    </w:p>
    <w:p w:rsidR="00F76E84" w:rsidRPr="00D81FEF" w:rsidRDefault="00FC3746" w:rsidP="00D81FEF">
      <w:pPr>
        <w:pStyle w:val="Ttulo1"/>
        <w:numPr>
          <w:ilvl w:val="0"/>
          <w:numId w:val="24"/>
        </w:numPr>
        <w:rPr>
          <w:rFonts w:ascii="Bookman Old Style" w:hAnsi="Bookman Old Style"/>
          <w:color w:val="auto"/>
        </w:rPr>
      </w:pPr>
      <w:bookmarkStart w:id="18" w:name="_Toc497809484"/>
      <w:r w:rsidRPr="00D81FEF">
        <w:rPr>
          <w:rFonts w:ascii="Bookman Old Style" w:hAnsi="Bookman Old Style"/>
          <w:color w:val="auto"/>
        </w:rPr>
        <w:t xml:space="preserve">Meta sobre </w:t>
      </w:r>
      <w:r w:rsidR="00216EAD" w:rsidRPr="00D81FEF">
        <w:rPr>
          <w:rFonts w:ascii="Bookman Old Style" w:hAnsi="Bookman Old Style"/>
          <w:color w:val="auto"/>
        </w:rPr>
        <w:t>a Formação de Professores</w:t>
      </w:r>
      <w:bookmarkEnd w:id="18"/>
    </w:p>
    <w:p w:rsidR="00D81FEF" w:rsidRPr="00D81FEF" w:rsidRDefault="00D81FEF" w:rsidP="00D81FEF"/>
    <w:p w:rsidR="00A158C9" w:rsidRPr="00B3094D" w:rsidRDefault="00A158C9" w:rsidP="00BB653D">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BB653D">
        <w:rPr>
          <w:rFonts w:ascii="Bookman Old Style" w:hAnsi="Bookman Old Style" w:cs="Times New Roman"/>
          <w:b/>
          <w:color w:val="000000" w:themeColor="text1"/>
          <w:sz w:val="24"/>
          <w:szCs w:val="24"/>
        </w:rPr>
        <w:t xml:space="preserve">nº. 15: </w:t>
      </w:r>
      <w:r w:rsidR="00BB653D" w:rsidRPr="00BB653D">
        <w:rPr>
          <w:rFonts w:ascii="Bookman Old Style" w:hAnsi="Bookman Old Style" w:cs="Times New Roman"/>
          <w:b/>
          <w:color w:val="000000" w:themeColor="text1"/>
          <w:sz w:val="24"/>
          <w:szCs w:val="24"/>
        </w:rPr>
        <w:t xml:space="preserve">Garantir, em regime de colaboração entre a União, os estados, o Distrito Federal e os municípios, no prazo de um ano de vigência deste PNE, política nacional de formação e valorização dos profissionais da educação, assegurado que </w:t>
      </w:r>
      <w:proofErr w:type="gramStart"/>
      <w:r w:rsidR="00BB653D" w:rsidRPr="00BB653D">
        <w:rPr>
          <w:rFonts w:ascii="Bookman Old Style" w:hAnsi="Bookman Old Style" w:cs="Times New Roman"/>
          <w:b/>
          <w:color w:val="000000" w:themeColor="text1"/>
          <w:sz w:val="24"/>
          <w:szCs w:val="24"/>
        </w:rPr>
        <w:t>todos os professores da educação básica possuam</w:t>
      </w:r>
      <w:proofErr w:type="gramEnd"/>
      <w:r w:rsidR="00BB653D" w:rsidRPr="00BB653D">
        <w:rPr>
          <w:rFonts w:ascii="Bookman Old Style" w:hAnsi="Bookman Old Style" w:cs="Times New Roman"/>
          <w:b/>
          <w:color w:val="000000" w:themeColor="text1"/>
          <w:sz w:val="24"/>
          <w:szCs w:val="24"/>
        </w:rPr>
        <w:t xml:space="preserve"> formação específica de nível superior, obtida em curso de licenciatura na área de conhecimento em que atuam.</w:t>
      </w:r>
    </w:p>
    <w:p w:rsidR="00F76E84" w:rsidRPr="00B3094D" w:rsidRDefault="00F76E84" w:rsidP="00D022A1">
      <w:pPr>
        <w:jc w:val="center"/>
        <w:rPr>
          <w:rFonts w:ascii="Bookman Old Style" w:hAnsi="Bookman Old Style" w:cs="Times New Roman"/>
          <w:color w:val="000000" w:themeColor="text1"/>
          <w:sz w:val="24"/>
          <w:szCs w:val="24"/>
        </w:rPr>
      </w:pPr>
    </w:p>
    <w:p w:rsidR="00FF353F" w:rsidRPr="00B3094D" w:rsidRDefault="00FF353F" w:rsidP="00D022A1">
      <w:pPr>
        <w:jc w:val="center"/>
        <w:rPr>
          <w:rFonts w:ascii="Bookman Old Style" w:hAnsi="Bookman Old Style" w:cs="Times New Roman"/>
          <w:color w:val="000000" w:themeColor="text1"/>
          <w:sz w:val="24"/>
          <w:szCs w:val="24"/>
        </w:rPr>
      </w:pPr>
    </w:p>
    <w:p w:rsidR="00FF353F" w:rsidRPr="00B3094D" w:rsidRDefault="00FF353F" w:rsidP="00D022A1">
      <w:pPr>
        <w:jc w:val="center"/>
        <w:rPr>
          <w:rFonts w:ascii="Bookman Old Style" w:hAnsi="Bookman Old Style" w:cs="Times New Roman"/>
          <w:color w:val="000000" w:themeColor="text1"/>
          <w:sz w:val="24"/>
          <w:szCs w:val="24"/>
        </w:rPr>
      </w:pPr>
    </w:p>
    <w:p w:rsidR="00FF353F" w:rsidRPr="00B3094D" w:rsidRDefault="00FF353F" w:rsidP="00D022A1">
      <w:pPr>
        <w:jc w:val="center"/>
        <w:rPr>
          <w:rFonts w:ascii="Bookman Old Style" w:hAnsi="Bookman Old Style" w:cs="Times New Roman"/>
          <w:color w:val="000000" w:themeColor="text1"/>
          <w:sz w:val="24"/>
          <w:szCs w:val="24"/>
        </w:rPr>
      </w:pPr>
    </w:p>
    <w:p w:rsidR="00FF353F" w:rsidRPr="00B3094D" w:rsidRDefault="00FF353F" w:rsidP="00D022A1">
      <w:pPr>
        <w:jc w:val="center"/>
        <w:rPr>
          <w:rFonts w:ascii="Bookman Old Style" w:hAnsi="Bookman Old Style" w:cs="Times New Roman"/>
          <w:color w:val="000000" w:themeColor="text1"/>
          <w:sz w:val="24"/>
          <w:szCs w:val="24"/>
        </w:rPr>
      </w:pPr>
    </w:p>
    <w:tbl>
      <w:tblPr>
        <w:tblStyle w:val="Tabelacomgrade"/>
        <w:tblW w:w="10426" w:type="dxa"/>
        <w:tblInd w:w="-1386" w:type="dxa"/>
        <w:tblCellMar>
          <w:left w:w="70" w:type="dxa"/>
          <w:right w:w="70" w:type="dxa"/>
        </w:tblCellMar>
        <w:tblLook w:val="0000"/>
      </w:tblPr>
      <w:tblGrid>
        <w:gridCol w:w="1400"/>
        <w:gridCol w:w="1326"/>
        <w:gridCol w:w="1380"/>
        <w:gridCol w:w="1671"/>
        <w:gridCol w:w="4649"/>
      </w:tblGrid>
      <w:tr w:rsidR="00BF154E" w:rsidRPr="00D049A9" w:rsidTr="00B86C6F">
        <w:trPr>
          <w:gridBefore w:val="1"/>
          <w:wBefore w:w="1456" w:type="dxa"/>
          <w:trHeight w:val="948"/>
        </w:trPr>
        <w:tc>
          <w:tcPr>
            <w:tcW w:w="1330" w:type="dxa"/>
            <w:vAlign w:val="center"/>
          </w:tcPr>
          <w:p w:rsidR="00BF154E" w:rsidRPr="00D049A9" w:rsidRDefault="00BF154E" w:rsidP="00B86C6F">
            <w:pPr>
              <w:rPr>
                <w:rFonts w:ascii="Bookman Old Style" w:hAnsi="Bookman Old Style" w:cs="Times New Roman"/>
                <w:color w:val="000000" w:themeColor="text1"/>
                <w:sz w:val="20"/>
                <w:szCs w:val="20"/>
              </w:rPr>
            </w:pPr>
          </w:p>
          <w:p w:rsidR="00BF154E" w:rsidRDefault="00BF154E"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F154E" w:rsidRPr="00D049A9" w:rsidRDefault="00BF154E" w:rsidP="00B86C6F">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15 A</w:t>
            </w:r>
          </w:p>
          <w:p w:rsidR="00BF154E" w:rsidRPr="00D049A9" w:rsidRDefault="00BF154E" w:rsidP="00B86C6F">
            <w:pPr>
              <w:jc w:val="center"/>
              <w:rPr>
                <w:rFonts w:ascii="Bookman Old Style" w:hAnsi="Bookman Old Style" w:cs="Times New Roman"/>
                <w:color w:val="000000" w:themeColor="text1"/>
                <w:sz w:val="20"/>
                <w:szCs w:val="20"/>
              </w:rPr>
            </w:pPr>
          </w:p>
        </w:tc>
        <w:tc>
          <w:tcPr>
            <w:tcW w:w="7640" w:type="dxa"/>
            <w:gridSpan w:val="3"/>
            <w:vAlign w:val="center"/>
          </w:tcPr>
          <w:p w:rsidR="00BF154E" w:rsidRPr="00D049A9" w:rsidRDefault="00BF154E" w:rsidP="00B86C6F">
            <w:pPr>
              <w:jc w:val="center"/>
              <w:rPr>
                <w:rFonts w:ascii="Bookman Old Style" w:hAnsi="Bookman Old Style" w:cs="Times New Roman"/>
                <w:b/>
                <w:color w:val="000000" w:themeColor="text1"/>
                <w:sz w:val="20"/>
                <w:szCs w:val="20"/>
              </w:rPr>
            </w:pPr>
            <w:r w:rsidRPr="00BF154E">
              <w:rPr>
                <w:rFonts w:ascii="Bookman Old Style" w:hAnsi="Bookman Old Style" w:cs="Times New Roman"/>
                <w:b/>
                <w:color w:val="000000" w:themeColor="text1"/>
                <w:sz w:val="20"/>
                <w:szCs w:val="20"/>
              </w:rPr>
              <w:t>Proporção de docências com professores que possuem formação superior compatível com a área de conhecimento em que lecionam na educação básica</w:t>
            </w:r>
            <w:r>
              <w:rPr>
                <w:rFonts w:ascii="Bookman Old Style" w:hAnsi="Bookman Old Style" w:cs="Times New Roman"/>
                <w:b/>
                <w:color w:val="000000" w:themeColor="text1"/>
                <w:sz w:val="20"/>
                <w:szCs w:val="20"/>
              </w:rPr>
              <w:t>.</w:t>
            </w:r>
          </w:p>
        </w:tc>
      </w:tr>
      <w:tr w:rsidR="00BF154E" w:rsidRPr="00D049A9" w:rsidTr="00B86C6F">
        <w:tblPrEx>
          <w:tblCellMar>
            <w:left w:w="108" w:type="dxa"/>
            <w:right w:w="108" w:type="dxa"/>
          </w:tblCellMar>
          <w:tblLook w:val="04A0"/>
        </w:tblPrEx>
        <w:trPr>
          <w:gridBefore w:val="1"/>
          <w:wBefore w:w="1456" w:type="dxa"/>
          <w:trHeight w:val="325"/>
        </w:trPr>
        <w:tc>
          <w:tcPr>
            <w:tcW w:w="1330" w:type="dxa"/>
            <w:vAlign w:val="center"/>
          </w:tcPr>
          <w:p w:rsidR="00BF154E" w:rsidRPr="00D049A9" w:rsidRDefault="00BF154E"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BF154E" w:rsidRPr="00D049A9" w:rsidRDefault="00BF154E"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F154E" w:rsidRPr="00D049A9" w:rsidRDefault="00BF154E" w:rsidP="00B86C6F">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F154E" w:rsidRPr="00D049A9" w:rsidTr="00B86C6F">
        <w:trPr>
          <w:trHeight w:val="284"/>
        </w:trPr>
        <w:tc>
          <w:tcPr>
            <w:tcW w:w="1456" w:type="dxa"/>
            <w:vMerge w:val="restart"/>
            <w:tcBorders>
              <w:top w:val="nil"/>
              <w:left w:val="nil"/>
              <w:bottom w:val="nil"/>
            </w:tcBorders>
            <w:shd w:val="clear" w:color="auto" w:fill="auto"/>
            <w:vAlign w:val="center"/>
          </w:tcPr>
          <w:p w:rsidR="00BF154E" w:rsidRPr="00D049A9" w:rsidRDefault="00BF154E" w:rsidP="00B86C6F">
            <w:pPr>
              <w:jc w:val="center"/>
              <w:rPr>
                <w:rFonts w:ascii="Bookman Old Style" w:hAnsi="Bookman Old Style" w:cs="Times New Roman"/>
                <w:color w:val="000000" w:themeColor="text1"/>
                <w:sz w:val="20"/>
                <w:szCs w:val="20"/>
              </w:rPr>
            </w:pPr>
          </w:p>
        </w:tc>
        <w:tc>
          <w:tcPr>
            <w:tcW w:w="1330" w:type="dxa"/>
            <w:vMerge w:val="restart"/>
            <w:vAlign w:val="center"/>
          </w:tcPr>
          <w:p w:rsidR="00BF154E" w:rsidRPr="00D049A9" w:rsidRDefault="00BF154E"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100,00%</w:t>
            </w:r>
          </w:p>
        </w:tc>
        <w:tc>
          <w:tcPr>
            <w:tcW w:w="1292" w:type="dxa"/>
            <w:vAlign w:val="center"/>
          </w:tcPr>
          <w:p w:rsidR="00BF154E" w:rsidRPr="00D049A9" w:rsidRDefault="00BF154E"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BF154E" w:rsidRPr="00D049A9" w:rsidRDefault="00BF154E"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62,40%</w:t>
            </w:r>
          </w:p>
        </w:tc>
        <w:tc>
          <w:tcPr>
            <w:tcW w:w="4649" w:type="dxa"/>
            <w:vAlign w:val="center"/>
          </w:tcPr>
          <w:p w:rsidR="00BF154E" w:rsidRDefault="00BF154E" w:rsidP="00B86C6F">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p w:rsidR="00BF154E" w:rsidRPr="00D049A9" w:rsidRDefault="00BF154E" w:rsidP="00B86C6F">
            <w:pPr>
              <w:jc w:val="both"/>
              <w:rPr>
                <w:rFonts w:ascii="Bookman Old Style" w:hAnsi="Bookman Old Style" w:cs="Times New Roman"/>
                <w:color w:val="000000" w:themeColor="text1"/>
                <w:sz w:val="20"/>
                <w:szCs w:val="20"/>
              </w:rPr>
            </w:pPr>
            <w:r>
              <w:t>**acesso em dezembro de 2016.</w:t>
            </w:r>
          </w:p>
        </w:tc>
      </w:tr>
      <w:tr w:rsidR="00BF154E" w:rsidRPr="00D049A9" w:rsidTr="00B86C6F">
        <w:trPr>
          <w:trHeight w:val="284"/>
        </w:trPr>
        <w:tc>
          <w:tcPr>
            <w:tcW w:w="1456" w:type="dxa"/>
            <w:vMerge/>
            <w:tcBorders>
              <w:left w:val="nil"/>
              <w:bottom w:val="nil"/>
            </w:tcBorders>
            <w:shd w:val="clear" w:color="auto" w:fill="auto"/>
            <w:vAlign w:val="center"/>
          </w:tcPr>
          <w:p w:rsidR="00BF154E" w:rsidRPr="00D049A9" w:rsidRDefault="00BF154E" w:rsidP="00B86C6F">
            <w:pPr>
              <w:jc w:val="center"/>
              <w:rPr>
                <w:rFonts w:ascii="Bookman Old Style" w:hAnsi="Bookman Old Style" w:cs="Times New Roman"/>
                <w:color w:val="000000" w:themeColor="text1"/>
                <w:sz w:val="20"/>
                <w:szCs w:val="20"/>
              </w:rPr>
            </w:pPr>
          </w:p>
        </w:tc>
        <w:tc>
          <w:tcPr>
            <w:tcW w:w="1330" w:type="dxa"/>
            <w:vMerge/>
            <w:vAlign w:val="center"/>
          </w:tcPr>
          <w:p w:rsidR="00BF154E" w:rsidRPr="00D049A9" w:rsidRDefault="00BF154E" w:rsidP="00B86C6F">
            <w:pPr>
              <w:jc w:val="center"/>
              <w:rPr>
                <w:rFonts w:ascii="Bookman Old Style" w:hAnsi="Bookman Old Style" w:cs="Times New Roman"/>
                <w:b/>
                <w:color w:val="000000" w:themeColor="text1"/>
                <w:sz w:val="20"/>
                <w:szCs w:val="20"/>
              </w:rPr>
            </w:pPr>
          </w:p>
        </w:tc>
        <w:tc>
          <w:tcPr>
            <w:tcW w:w="1292" w:type="dxa"/>
            <w:vAlign w:val="center"/>
          </w:tcPr>
          <w:p w:rsidR="00BF154E" w:rsidRPr="00D049A9" w:rsidRDefault="00BF154E" w:rsidP="00B86C6F">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BF154E" w:rsidRPr="00D049A9" w:rsidRDefault="00BF154E"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100,00%</w:t>
            </w:r>
          </w:p>
        </w:tc>
        <w:tc>
          <w:tcPr>
            <w:tcW w:w="4649" w:type="dxa"/>
            <w:vAlign w:val="center"/>
          </w:tcPr>
          <w:p w:rsidR="00BF154E" w:rsidRPr="00D049A9" w:rsidRDefault="00BF154E" w:rsidP="00B86C6F">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Fonte: Sistema Municipal de Ensino e Secretaria Municipal de Educação.</w:t>
            </w:r>
          </w:p>
        </w:tc>
      </w:tr>
    </w:tbl>
    <w:p w:rsidR="00BF154E" w:rsidRDefault="00BF154E" w:rsidP="00BF154E">
      <w:pPr>
        <w:jc w:val="both"/>
        <w:rPr>
          <w:rFonts w:ascii="Bookman Old Style" w:hAnsi="Bookman Old Style" w:cs="Times New Roman"/>
          <w:color w:val="000000" w:themeColor="text1"/>
          <w:sz w:val="24"/>
          <w:szCs w:val="24"/>
        </w:rPr>
      </w:pPr>
    </w:p>
    <w:p w:rsidR="00BF154E" w:rsidRPr="00BF154E" w:rsidRDefault="00BF154E" w:rsidP="00BF154E">
      <w:pPr>
        <w:jc w:val="both"/>
        <w:rPr>
          <w:rFonts w:ascii="Bookman Old Style" w:hAnsi="Bookman Old Style" w:cs="Times New Roman"/>
          <w:b/>
          <w:color w:val="000000" w:themeColor="text1"/>
          <w:sz w:val="24"/>
          <w:szCs w:val="24"/>
        </w:rPr>
      </w:pPr>
      <w:r w:rsidRPr="00BF154E">
        <w:rPr>
          <w:rFonts w:ascii="Bookman Old Style" w:hAnsi="Bookman Old Style" w:cs="Times New Roman"/>
          <w:b/>
          <w:color w:val="000000" w:themeColor="text1"/>
          <w:sz w:val="24"/>
          <w:szCs w:val="24"/>
        </w:rPr>
        <w:t>Contextualização da Meta:</w:t>
      </w:r>
    </w:p>
    <w:p w:rsidR="00BF154E" w:rsidRPr="00BF154E" w:rsidRDefault="00BF154E" w:rsidP="00BF154E">
      <w:pPr>
        <w:ind w:firstLine="567"/>
        <w:jc w:val="both"/>
        <w:rPr>
          <w:rFonts w:ascii="Bookman Old Style" w:hAnsi="Bookman Old Style" w:cs="Times New Roman"/>
          <w:color w:val="000000" w:themeColor="text1"/>
          <w:sz w:val="24"/>
          <w:szCs w:val="24"/>
        </w:rPr>
      </w:pPr>
      <w:r w:rsidRPr="00BF154E">
        <w:rPr>
          <w:rFonts w:ascii="Bookman Old Style" w:hAnsi="Bookman Old Style" w:cs="Times New Roman"/>
          <w:color w:val="000000" w:themeColor="text1"/>
          <w:sz w:val="24"/>
          <w:szCs w:val="24"/>
        </w:rPr>
        <w:t xml:space="preserve">A meta de número 15 do Plano Municipal de Educação Garantir, em regime de colaboração entre a União, os estados, o Distrito Federal e os municípios, no prazo de um ano de vigência deste PNE, política nacional de formação e valorização dos profissionais da educação, assegurado que </w:t>
      </w:r>
      <w:proofErr w:type="gramStart"/>
      <w:r w:rsidRPr="00BF154E">
        <w:rPr>
          <w:rFonts w:ascii="Bookman Old Style" w:hAnsi="Bookman Old Style" w:cs="Times New Roman"/>
          <w:color w:val="000000" w:themeColor="text1"/>
          <w:sz w:val="24"/>
          <w:szCs w:val="24"/>
        </w:rPr>
        <w:t>todos os professores da educação básica possuam</w:t>
      </w:r>
      <w:proofErr w:type="gramEnd"/>
      <w:r w:rsidRPr="00BF154E">
        <w:rPr>
          <w:rFonts w:ascii="Bookman Old Style" w:hAnsi="Bookman Old Style" w:cs="Times New Roman"/>
          <w:color w:val="000000" w:themeColor="text1"/>
          <w:sz w:val="24"/>
          <w:szCs w:val="24"/>
        </w:rPr>
        <w:t xml:space="preserve"> formação específica de nível superior, obtida em curso de licenciatura na área de conhecimento em que atuam. </w:t>
      </w:r>
    </w:p>
    <w:p w:rsidR="00BF154E" w:rsidRDefault="00BF154E" w:rsidP="00BF154E">
      <w:pPr>
        <w:ind w:firstLine="567"/>
        <w:jc w:val="both"/>
        <w:rPr>
          <w:rFonts w:ascii="Bookman Old Style" w:hAnsi="Bookman Old Style" w:cs="Times New Roman"/>
          <w:color w:val="000000" w:themeColor="text1"/>
          <w:sz w:val="24"/>
          <w:szCs w:val="24"/>
        </w:rPr>
      </w:pPr>
      <w:r w:rsidRPr="00BF154E">
        <w:rPr>
          <w:rFonts w:ascii="Bookman Old Style" w:hAnsi="Bookman Old Style" w:cs="Times New Roman"/>
          <w:color w:val="000000" w:themeColor="text1"/>
          <w:sz w:val="24"/>
          <w:szCs w:val="24"/>
        </w:rPr>
        <w:t xml:space="preserve">Esta meta trata da formação profissional dos docentes, para que esteja em concordância com a sua área de atuação. Personifica-se também como um aspecto de valorização do profissional da educação, proporcionar ao professor uma formação condizente com o desempenho das suas funções, garantindo minimamente condições básicas para que </w:t>
      </w:r>
      <w:proofErr w:type="gramStart"/>
      <w:r w:rsidRPr="00BF154E">
        <w:rPr>
          <w:rFonts w:ascii="Bookman Old Style" w:hAnsi="Bookman Old Style" w:cs="Times New Roman"/>
          <w:color w:val="000000" w:themeColor="text1"/>
          <w:sz w:val="24"/>
          <w:szCs w:val="24"/>
        </w:rPr>
        <w:t>os estudantes tenhas</w:t>
      </w:r>
      <w:proofErr w:type="gramEnd"/>
      <w:r w:rsidRPr="00BF154E">
        <w:rPr>
          <w:rFonts w:ascii="Bookman Old Style" w:hAnsi="Bookman Old Style" w:cs="Times New Roman"/>
          <w:color w:val="000000" w:themeColor="text1"/>
          <w:sz w:val="24"/>
          <w:szCs w:val="24"/>
        </w:rPr>
        <w:t xml:space="preserve"> um acesso mais refinado ao conhecimento dado em sala de aula. As estratégias da meta visam à valorização do professor, o levantamento das necessidades de formação, incentivo e fomento de programas de incentivo de qualificação.</w:t>
      </w:r>
      <w:r>
        <w:rPr>
          <w:rFonts w:ascii="Bookman Old Style" w:hAnsi="Bookman Old Style" w:cs="Times New Roman"/>
          <w:color w:val="000000" w:themeColor="text1"/>
          <w:sz w:val="24"/>
          <w:szCs w:val="24"/>
        </w:rPr>
        <w:t xml:space="preserve"> </w:t>
      </w:r>
      <w:proofErr w:type="gramStart"/>
      <w:r w:rsidRPr="00BF154E">
        <w:rPr>
          <w:rFonts w:ascii="Bookman Old Style" w:hAnsi="Bookman Old Style" w:cs="Times New Roman"/>
          <w:color w:val="000000" w:themeColor="text1"/>
          <w:sz w:val="24"/>
          <w:szCs w:val="24"/>
        </w:rPr>
        <w:t>no</w:t>
      </w:r>
      <w:proofErr w:type="gramEnd"/>
      <w:r w:rsidRPr="00BF154E">
        <w:rPr>
          <w:rFonts w:ascii="Bookman Old Style" w:hAnsi="Bookman Old Style" w:cs="Times New Roman"/>
          <w:color w:val="000000" w:themeColor="text1"/>
          <w:sz w:val="24"/>
          <w:szCs w:val="24"/>
        </w:rPr>
        <w:t xml:space="preserve"> Sistema Municipal de Ensino foi diagnosticado os dados levantados junto à Secretaria Municipal de Educação que há 100%  dos docentes com formação superior compatível com a área de conhecimento que lecionam.</w:t>
      </w:r>
    </w:p>
    <w:p w:rsidR="00BF154E" w:rsidRDefault="00BF154E" w:rsidP="00BF154E">
      <w:pPr>
        <w:ind w:firstLine="567"/>
        <w:jc w:val="both"/>
        <w:rPr>
          <w:rFonts w:ascii="Bookman Old Style" w:hAnsi="Bookman Old Style" w:cs="Times New Roman"/>
          <w:color w:val="000000" w:themeColor="text1"/>
          <w:sz w:val="24"/>
          <w:szCs w:val="24"/>
        </w:rPr>
      </w:pPr>
      <w:r w:rsidRPr="00BF154E">
        <w:rPr>
          <w:rFonts w:ascii="Bookman Old Style" w:hAnsi="Bookman Old Style" w:cs="Times New Roman"/>
          <w:color w:val="000000" w:themeColor="text1"/>
          <w:sz w:val="24"/>
          <w:szCs w:val="24"/>
        </w:rPr>
        <w:t xml:space="preserve">O indicador 15 A relaciona-se com a proporção de docências com professores que possuem formação superior compatível com a área de </w:t>
      </w:r>
      <w:r w:rsidRPr="00BF154E">
        <w:rPr>
          <w:rFonts w:ascii="Bookman Old Style" w:hAnsi="Bookman Old Style" w:cs="Times New Roman"/>
          <w:color w:val="000000" w:themeColor="text1"/>
          <w:sz w:val="24"/>
          <w:szCs w:val="24"/>
        </w:rPr>
        <w:lastRenderedPageBreak/>
        <w:t>conhecimento que lecionam na Educação Básica. O relatório do monitoramento do PNE (Censo 2014) apontou que o alcançado em valores percentuais foi de 64,7%, valor abaixo do pactuado para a meta de 100%. Entretanto é importante frisarmos que os dados levantados junto à Secretaria de Educação apontam para a totalidade dos docentes com a formação compatível com a área que atuam no Sistema Municipal de Ensino. Diante destas colocações pactuamos para o ano de 2017, os 100% dos docentes com formação compatível às suas funções, tendo em vista o preconizado no Plano.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BF154E" w:rsidRPr="00540B0B" w:rsidTr="00B86C6F">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BF154E" w:rsidRPr="00540B0B" w:rsidRDefault="00BF154E" w:rsidP="00B86C6F">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BF154E" w:rsidRPr="00540B0B" w:rsidRDefault="00BF154E" w:rsidP="00B86C6F">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BF154E" w:rsidRPr="00540B0B" w:rsidRDefault="00BF154E" w:rsidP="00B86C6F">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BF154E" w:rsidRPr="00540B0B" w:rsidRDefault="00BF154E" w:rsidP="00B86C6F">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BF154E" w:rsidRDefault="00BF154E" w:rsidP="00B86C6F">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BF154E" w:rsidRPr="00540B0B" w:rsidRDefault="00BF154E" w:rsidP="00B86C6F">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 xml:space="preserve"> Valorizar, nos concursos e processos seletivos, a formação acadêmica de nível superior voltada ao conhecimento e reflexão das demandas da rede pública de educação básica, em especial, ao nível educacional pretendido.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 xml:space="preserve"> Exigir formação em nível superior para preenchimento de cargo de professores no serviço público municipal.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 xml:space="preserve">Incentivar, de acordo com os critérios estabelecidos no Plano de Carreira a participação em cursos e programas de formação na área de atuação, aos integrantes do quadro do magistério que não possuem a titulação especificada no caput da presente meta.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Realizar levantamento do número de profissionais da educação que não possuem o ensino superior completo, estimulando para que concluam sua graduação.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t>15.5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Proporcionar formação específica e continuada aos professores de acordo com a área de atuação de cada um.</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r w:rsidR="00BF154E" w:rsidRPr="00BF154E" w:rsidTr="00BF154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jc w:val="both"/>
              <w:rPr>
                <w:rFonts w:ascii="Calibri" w:eastAsia="Times New Roman" w:hAnsi="Calibri" w:cs="Calibri"/>
                <w:color w:val="000000"/>
                <w:lang w:eastAsia="pt-BR"/>
              </w:rPr>
            </w:pPr>
            <w:r w:rsidRPr="00BF154E">
              <w:rPr>
                <w:rFonts w:ascii="Calibri" w:eastAsia="Times New Roman" w:hAnsi="Calibri" w:cs="Calibri"/>
                <w:color w:val="000000"/>
                <w:lang w:eastAsia="pt-BR"/>
              </w:rPr>
              <w:lastRenderedPageBreak/>
              <w:t>15.6</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 xml:space="preserve"> </w:t>
            </w:r>
            <w:proofErr w:type="gramStart"/>
            <w:r w:rsidRPr="00BF154E">
              <w:rPr>
                <w:rFonts w:ascii="Calibri" w:eastAsia="Times New Roman" w:hAnsi="Calibri" w:cs="Calibri"/>
                <w:color w:val="000000"/>
                <w:lang w:eastAsia="pt-BR"/>
              </w:rPr>
              <w:t>Implementar</w:t>
            </w:r>
            <w:proofErr w:type="gramEnd"/>
            <w:r w:rsidRPr="00BF154E">
              <w:rPr>
                <w:rFonts w:ascii="Calibri" w:eastAsia="Times New Roman" w:hAnsi="Calibri" w:cs="Calibri"/>
                <w:color w:val="000000"/>
                <w:lang w:eastAsia="pt-BR"/>
              </w:rPr>
              <w:t xml:space="preserve"> programas específicos para formação de professores para as populações do campo e educação especial.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Até ano de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BF154E" w:rsidRPr="00BF154E" w:rsidRDefault="00BF154E" w:rsidP="00BF154E">
            <w:pPr>
              <w:spacing w:after="0" w:line="240" w:lineRule="auto"/>
              <w:rPr>
                <w:rFonts w:ascii="Calibri" w:eastAsia="Times New Roman" w:hAnsi="Calibri" w:cs="Calibri"/>
                <w:color w:val="000000"/>
                <w:lang w:eastAsia="pt-BR"/>
              </w:rPr>
            </w:pPr>
            <w:r w:rsidRPr="00BF154E">
              <w:rPr>
                <w:rFonts w:ascii="Calibri" w:eastAsia="Times New Roman" w:hAnsi="Calibri" w:cs="Calibri"/>
                <w:color w:val="000000"/>
                <w:lang w:eastAsia="pt-BR"/>
              </w:rPr>
              <w:t>Plano Plurianual: 2014/2017,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BF154E" w:rsidRDefault="00BF154E" w:rsidP="00BF154E">
            <w:pPr>
              <w:jc w:val="center"/>
            </w:pPr>
            <w:r w:rsidRPr="00E2325F">
              <w:rPr>
                <w:rFonts w:ascii="Calibri" w:eastAsia="Times New Roman" w:hAnsi="Calibri" w:cs="Calibri"/>
                <w:color w:val="000000"/>
                <w:lang w:eastAsia="pt-BR"/>
              </w:rPr>
              <w:t>Realizada</w:t>
            </w:r>
          </w:p>
        </w:tc>
      </w:tr>
    </w:tbl>
    <w:p w:rsidR="00BF154E" w:rsidRPr="00BF154E" w:rsidRDefault="00BF154E" w:rsidP="00BF154E">
      <w:pPr>
        <w:jc w:val="both"/>
        <w:rPr>
          <w:rFonts w:ascii="Bookman Old Style" w:hAnsi="Bookman Old Style" w:cs="Times New Roman"/>
          <w:color w:val="000000" w:themeColor="text1"/>
          <w:sz w:val="24"/>
          <w:szCs w:val="24"/>
        </w:rPr>
      </w:pPr>
    </w:p>
    <w:p w:rsidR="00BF154E" w:rsidRPr="00BF154E" w:rsidRDefault="00BF154E" w:rsidP="00BF154E">
      <w:pPr>
        <w:jc w:val="both"/>
        <w:rPr>
          <w:rFonts w:ascii="Bookman Old Style" w:hAnsi="Bookman Old Style" w:cs="Times New Roman"/>
          <w:b/>
          <w:color w:val="000000" w:themeColor="text1"/>
          <w:sz w:val="24"/>
          <w:szCs w:val="24"/>
        </w:rPr>
      </w:pPr>
      <w:r w:rsidRPr="00BF154E">
        <w:rPr>
          <w:rFonts w:ascii="Bookman Old Style" w:hAnsi="Bookman Old Style" w:cs="Times New Roman"/>
          <w:b/>
          <w:color w:val="000000" w:themeColor="text1"/>
          <w:sz w:val="24"/>
          <w:szCs w:val="24"/>
        </w:rPr>
        <w:t>Conclusão a respeito da Meta:</w:t>
      </w:r>
    </w:p>
    <w:p w:rsidR="00BF154E" w:rsidRDefault="00BF154E" w:rsidP="00BF154E">
      <w:pPr>
        <w:ind w:firstLine="567"/>
        <w:jc w:val="both"/>
        <w:rPr>
          <w:rFonts w:ascii="Bookman Old Style" w:hAnsi="Bookman Old Style" w:cs="Times New Roman"/>
          <w:color w:val="000000" w:themeColor="text1"/>
          <w:sz w:val="24"/>
          <w:szCs w:val="24"/>
        </w:rPr>
      </w:pPr>
      <w:r w:rsidRPr="00BF154E">
        <w:rPr>
          <w:rFonts w:ascii="Bookman Old Style" w:hAnsi="Bookman Old Style" w:cs="Times New Roman"/>
          <w:color w:val="000000" w:themeColor="text1"/>
          <w:sz w:val="24"/>
          <w:szCs w:val="24"/>
        </w:rPr>
        <w:t>É imprescindível e básico que o docente tenha a formação acadêmica compatível com a área de conhecimento que atua. Os órgãos públicos devem para tanto efetuarem um levantamento minucioso e preciso a cerca destas carências. Pois a qualidade da educação passa intimamente pela valorização plena do profissional (professor). E é parte importante desta valorização o investimento na sua formação. Entretanto para poder tornar realidade é necessário além do levantamento das carências, a fomentação de parcerias voltadas à formação dos docentes, por meio de regimes de colaboração.</w:t>
      </w:r>
    </w:p>
    <w:p w:rsidR="00065667" w:rsidRDefault="00065667" w:rsidP="00065667">
      <w:pPr>
        <w:pStyle w:val="PargrafodaLista"/>
        <w:numPr>
          <w:ilvl w:val="0"/>
          <w:numId w:val="22"/>
        </w:numPr>
        <w:jc w:val="both"/>
        <w:rPr>
          <w:rFonts w:ascii="Bookman Old Style" w:hAnsi="Bookman Old Style" w:cs="Times New Roman"/>
          <w:b/>
          <w:color w:val="000000" w:themeColor="text1"/>
          <w:sz w:val="24"/>
          <w:szCs w:val="24"/>
        </w:rPr>
      </w:pPr>
      <w:r w:rsidRPr="00047456">
        <w:rPr>
          <w:rFonts w:ascii="Bookman Old Style" w:hAnsi="Bookman Old Style" w:cs="Times New Roman"/>
          <w:b/>
          <w:color w:val="000000" w:themeColor="text1"/>
          <w:sz w:val="24"/>
          <w:szCs w:val="24"/>
        </w:rPr>
        <w:t>Sugestão de Nova Redação da Meta:</w:t>
      </w:r>
    </w:p>
    <w:p w:rsidR="00065667" w:rsidRPr="00666FDE" w:rsidRDefault="00065667" w:rsidP="00065667">
      <w:pPr>
        <w:ind w:firstLine="567"/>
        <w:jc w:val="both"/>
        <w:rPr>
          <w:rFonts w:ascii="Bookman Old Style" w:hAnsi="Bookman Old Style" w:cs="Times New Roman"/>
          <w:i/>
          <w:color w:val="000000" w:themeColor="text1"/>
          <w:sz w:val="24"/>
          <w:szCs w:val="24"/>
        </w:rPr>
      </w:pPr>
      <w:r>
        <w:rPr>
          <w:rFonts w:ascii="Bookman Old Style" w:hAnsi="Bookman Old Style" w:cs="Times New Roman"/>
          <w:color w:val="000000" w:themeColor="text1"/>
          <w:sz w:val="24"/>
          <w:szCs w:val="24"/>
        </w:rPr>
        <w:t>Com relação à Meta nº. 15</w:t>
      </w:r>
      <w:r w:rsidRPr="00666FDE">
        <w:rPr>
          <w:rFonts w:ascii="Bookman Old Style" w:hAnsi="Bookman Old Style" w:cs="Times New Roman"/>
          <w:color w:val="000000" w:themeColor="text1"/>
          <w:sz w:val="24"/>
          <w:szCs w:val="24"/>
        </w:rPr>
        <w:t>, após análise, e considerando que a sua redação não está em concordância com o PNE, propõe-se a seguinte adequação a ser realizada na íntegra:</w:t>
      </w:r>
    </w:p>
    <w:p w:rsidR="00065667" w:rsidRPr="00065667" w:rsidRDefault="00065667" w:rsidP="00065667">
      <w:pPr>
        <w:jc w:val="both"/>
        <w:rPr>
          <w:rFonts w:ascii="Bookman Old Style" w:hAnsi="Bookman Old Style" w:cs="Times New Roman"/>
          <w:i/>
          <w:color w:val="000000" w:themeColor="text1"/>
          <w:sz w:val="24"/>
          <w:szCs w:val="24"/>
        </w:rPr>
      </w:pPr>
      <w:r w:rsidRPr="00065667">
        <w:rPr>
          <w:rFonts w:ascii="Bookman Old Style" w:hAnsi="Bookman Old Style" w:cs="Times New Roman"/>
          <w:i/>
          <w:color w:val="000000" w:themeColor="text1"/>
          <w:sz w:val="24"/>
          <w:szCs w:val="24"/>
        </w:rPr>
        <w:t xml:space="preserve">“Garantir, em regime de colaboração entre a União, os Estados, o Distrito Federal e os Municípios, </w:t>
      </w:r>
      <w:r w:rsidRPr="00065667">
        <w:rPr>
          <w:rFonts w:ascii="Bookman Old Style" w:hAnsi="Bookman Old Style" w:cs="Times New Roman"/>
          <w:i/>
          <w:color w:val="000000" w:themeColor="text1"/>
          <w:sz w:val="24"/>
          <w:szCs w:val="24"/>
          <w:highlight w:val="lightGray"/>
        </w:rPr>
        <w:t xml:space="preserve">no prazo de </w:t>
      </w:r>
      <w:proofErr w:type="gramStart"/>
      <w:r w:rsidRPr="00065667">
        <w:rPr>
          <w:rFonts w:ascii="Bookman Old Style" w:hAnsi="Bookman Old Style" w:cs="Times New Roman"/>
          <w:i/>
          <w:color w:val="000000" w:themeColor="text1"/>
          <w:sz w:val="24"/>
          <w:szCs w:val="24"/>
          <w:highlight w:val="lightGray"/>
        </w:rPr>
        <w:t>1</w:t>
      </w:r>
      <w:proofErr w:type="gramEnd"/>
      <w:r w:rsidRPr="00065667">
        <w:rPr>
          <w:rFonts w:ascii="Bookman Old Style" w:hAnsi="Bookman Old Style" w:cs="Times New Roman"/>
          <w:i/>
          <w:color w:val="000000" w:themeColor="text1"/>
          <w:sz w:val="24"/>
          <w:szCs w:val="24"/>
          <w:highlight w:val="lightGray"/>
        </w:rPr>
        <w:t xml:space="preserve"> (um) ano de vigência deste PNE,</w:t>
      </w:r>
      <w:r w:rsidRPr="00065667">
        <w:rPr>
          <w:rFonts w:ascii="Bookman Old Style" w:hAnsi="Bookman Old Style" w:cs="Times New Roman"/>
          <w:i/>
          <w:color w:val="000000" w:themeColor="text1"/>
          <w:sz w:val="24"/>
          <w:szCs w:val="24"/>
        </w:rPr>
        <w:t xml:space="preserve"> política nacional de formação dos profissionais da educação de que tratam os incisos I, II e III do caput do art. 61 da Lei no 9.394, de 20 de dezembro de 1996, assegurado que todos os professores e as professoras da educação básica possuam formação específica de nível superior, obtida em curso de licenciatura na área de conhecimento em que atuam.”</w:t>
      </w:r>
    </w:p>
    <w:p w:rsidR="00FF353F" w:rsidRDefault="00FF353F" w:rsidP="00D022A1">
      <w:pPr>
        <w:jc w:val="center"/>
        <w:rPr>
          <w:rFonts w:ascii="Bookman Old Style" w:hAnsi="Bookman Old Style" w:cs="Times New Roman"/>
          <w:color w:val="000000" w:themeColor="text1"/>
          <w:sz w:val="24"/>
          <w:szCs w:val="24"/>
        </w:rPr>
      </w:pPr>
    </w:p>
    <w:p w:rsidR="00D81FEF" w:rsidRDefault="00D81FEF" w:rsidP="00D022A1">
      <w:pPr>
        <w:jc w:val="center"/>
        <w:rPr>
          <w:rFonts w:ascii="Bookman Old Style" w:hAnsi="Bookman Old Style" w:cs="Times New Roman"/>
          <w:color w:val="000000" w:themeColor="text1"/>
          <w:sz w:val="24"/>
          <w:szCs w:val="24"/>
        </w:rPr>
      </w:pPr>
    </w:p>
    <w:p w:rsidR="00D81FEF" w:rsidRPr="00B3094D" w:rsidRDefault="00D81FEF" w:rsidP="00D022A1">
      <w:pPr>
        <w:jc w:val="center"/>
        <w:rPr>
          <w:rFonts w:ascii="Bookman Old Style" w:hAnsi="Bookman Old Style" w:cs="Times New Roman"/>
          <w:color w:val="000000" w:themeColor="text1"/>
          <w:sz w:val="24"/>
          <w:szCs w:val="24"/>
        </w:rPr>
      </w:pPr>
    </w:p>
    <w:p w:rsidR="00FC3746" w:rsidRPr="00D81FEF" w:rsidRDefault="00216EAD" w:rsidP="00D81FEF">
      <w:pPr>
        <w:pStyle w:val="Ttulo1"/>
        <w:numPr>
          <w:ilvl w:val="0"/>
          <w:numId w:val="25"/>
        </w:numPr>
        <w:rPr>
          <w:rFonts w:ascii="Bookman Old Style" w:hAnsi="Bookman Old Style"/>
          <w:color w:val="auto"/>
          <w:sz w:val="24"/>
          <w:szCs w:val="24"/>
        </w:rPr>
      </w:pPr>
      <w:bookmarkStart w:id="19" w:name="_Toc497809485"/>
      <w:r w:rsidRPr="00D81FEF">
        <w:rPr>
          <w:rFonts w:ascii="Bookman Old Style" w:hAnsi="Bookman Old Style"/>
          <w:color w:val="auto"/>
        </w:rPr>
        <w:lastRenderedPageBreak/>
        <w:t>Meta sobre a Formação Continuadae Pós-G</w:t>
      </w:r>
      <w:r w:rsidR="00FC3746" w:rsidRPr="00D81FEF">
        <w:rPr>
          <w:rFonts w:ascii="Bookman Old Style" w:hAnsi="Bookman Old Style"/>
          <w:color w:val="auto"/>
        </w:rPr>
        <w:t xml:space="preserve">raduação </w:t>
      </w:r>
      <w:r w:rsidRPr="00D81FEF">
        <w:rPr>
          <w:rFonts w:ascii="Bookman Old Style" w:hAnsi="Bookman Old Style"/>
          <w:color w:val="auto"/>
        </w:rPr>
        <w:t>de P</w:t>
      </w:r>
      <w:r w:rsidR="00FC3746" w:rsidRPr="00D81FEF">
        <w:rPr>
          <w:rFonts w:ascii="Bookman Old Style" w:hAnsi="Bookman Old Style"/>
          <w:color w:val="auto"/>
        </w:rPr>
        <w:t>rofessores</w:t>
      </w:r>
      <w:bookmarkEnd w:id="19"/>
      <w:r w:rsidR="00FC3746" w:rsidRPr="00D81FEF">
        <w:rPr>
          <w:rFonts w:ascii="Bookman Old Style" w:hAnsi="Bookman Old Style"/>
          <w:color w:val="auto"/>
        </w:rPr>
        <w:t xml:space="preserve"> </w:t>
      </w:r>
    </w:p>
    <w:p w:rsidR="00D81FEF" w:rsidRDefault="00D81FEF" w:rsidP="00B86C6F">
      <w:pPr>
        <w:jc w:val="both"/>
        <w:rPr>
          <w:rFonts w:ascii="Bookman Old Style" w:hAnsi="Bookman Old Style" w:cs="Times New Roman"/>
          <w:b/>
          <w:color w:val="000000" w:themeColor="text1"/>
          <w:sz w:val="24"/>
          <w:szCs w:val="24"/>
        </w:rPr>
      </w:pPr>
    </w:p>
    <w:p w:rsidR="00F76E84" w:rsidRPr="00B3094D" w:rsidRDefault="00A158C9" w:rsidP="00B86C6F">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B86C6F">
        <w:rPr>
          <w:rFonts w:ascii="Bookman Old Style" w:hAnsi="Bookman Old Style" w:cs="Times New Roman"/>
          <w:b/>
          <w:color w:val="000000" w:themeColor="text1"/>
          <w:sz w:val="24"/>
          <w:szCs w:val="24"/>
        </w:rPr>
        <w:t xml:space="preserve">nº. 16: </w:t>
      </w:r>
      <w:r w:rsidR="00B86C6F" w:rsidRPr="00B86C6F">
        <w:rPr>
          <w:rFonts w:ascii="Bookman Old Style" w:hAnsi="Bookman Old Style" w:cs="Times New Roman"/>
          <w:b/>
          <w:color w:val="000000" w:themeColor="text1"/>
          <w:sz w:val="24"/>
          <w:szCs w:val="24"/>
        </w:rPr>
        <w:t>Formar em nível de pós-graduação 50% dos professores de educação básica, até o último ano de vigência deste PNE, a garantir a todos os profissionais da educação básica formação continuada em sua área de atuação, considerando as necessidades, demandas e contextualizações dos sistemas de ensino.</w:t>
      </w:r>
    </w:p>
    <w:tbl>
      <w:tblPr>
        <w:tblStyle w:val="Tabelacomgrade"/>
        <w:tblW w:w="10426" w:type="dxa"/>
        <w:tblInd w:w="-1386" w:type="dxa"/>
        <w:tblCellMar>
          <w:left w:w="70" w:type="dxa"/>
          <w:right w:w="70" w:type="dxa"/>
        </w:tblCellMar>
        <w:tblLook w:val="0000"/>
      </w:tblPr>
      <w:tblGrid>
        <w:gridCol w:w="1403"/>
        <w:gridCol w:w="1326"/>
        <w:gridCol w:w="1380"/>
        <w:gridCol w:w="1668"/>
        <w:gridCol w:w="4649"/>
      </w:tblGrid>
      <w:tr w:rsidR="00B86C6F" w:rsidRPr="00D049A9" w:rsidTr="00490E4D">
        <w:trPr>
          <w:gridBefore w:val="1"/>
          <w:wBefore w:w="1403" w:type="dxa"/>
          <w:trHeight w:val="948"/>
        </w:trPr>
        <w:tc>
          <w:tcPr>
            <w:tcW w:w="1326" w:type="dxa"/>
            <w:vAlign w:val="center"/>
          </w:tcPr>
          <w:p w:rsidR="00B86C6F" w:rsidRPr="00D049A9" w:rsidRDefault="00B86C6F" w:rsidP="00B86C6F">
            <w:pPr>
              <w:rPr>
                <w:rFonts w:ascii="Bookman Old Style" w:hAnsi="Bookman Old Style" w:cs="Times New Roman"/>
                <w:color w:val="000000" w:themeColor="text1"/>
                <w:sz w:val="20"/>
                <w:szCs w:val="20"/>
              </w:rPr>
            </w:pPr>
          </w:p>
          <w:p w:rsidR="00B86C6F" w:rsidRDefault="00B86C6F"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B86C6F" w:rsidRPr="00D049A9" w:rsidRDefault="00B86C6F" w:rsidP="00B86C6F">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16 A</w:t>
            </w:r>
          </w:p>
          <w:p w:rsidR="00B86C6F" w:rsidRPr="00D049A9" w:rsidRDefault="00B86C6F" w:rsidP="00B86C6F">
            <w:pPr>
              <w:jc w:val="center"/>
              <w:rPr>
                <w:rFonts w:ascii="Bookman Old Style" w:hAnsi="Bookman Old Style" w:cs="Times New Roman"/>
                <w:color w:val="000000" w:themeColor="text1"/>
                <w:sz w:val="20"/>
                <w:szCs w:val="20"/>
              </w:rPr>
            </w:pPr>
          </w:p>
        </w:tc>
        <w:tc>
          <w:tcPr>
            <w:tcW w:w="7697" w:type="dxa"/>
            <w:gridSpan w:val="3"/>
            <w:vAlign w:val="center"/>
          </w:tcPr>
          <w:p w:rsidR="00B86C6F" w:rsidRPr="00D049A9" w:rsidRDefault="00B86C6F" w:rsidP="00B86C6F">
            <w:pPr>
              <w:jc w:val="center"/>
              <w:rPr>
                <w:rFonts w:ascii="Bookman Old Style" w:hAnsi="Bookman Old Style" w:cs="Times New Roman"/>
                <w:b/>
                <w:color w:val="000000" w:themeColor="text1"/>
                <w:sz w:val="20"/>
                <w:szCs w:val="20"/>
              </w:rPr>
            </w:pPr>
            <w:r w:rsidRPr="00B86C6F">
              <w:rPr>
                <w:rFonts w:ascii="Bookman Old Style" w:hAnsi="Bookman Old Style" w:cs="Times New Roman"/>
                <w:b/>
                <w:color w:val="000000" w:themeColor="text1"/>
                <w:sz w:val="20"/>
                <w:szCs w:val="20"/>
              </w:rPr>
              <w:t xml:space="preserve">Percentual de professores da educação básica com pós-graduação lato </w:t>
            </w:r>
            <w:proofErr w:type="spellStart"/>
            <w:r w:rsidRPr="00B86C6F">
              <w:rPr>
                <w:rFonts w:ascii="Bookman Old Style" w:hAnsi="Bookman Old Style" w:cs="Times New Roman"/>
                <w:b/>
                <w:color w:val="000000" w:themeColor="text1"/>
                <w:sz w:val="20"/>
                <w:szCs w:val="20"/>
              </w:rPr>
              <w:t>sensu</w:t>
            </w:r>
            <w:proofErr w:type="spellEnd"/>
            <w:r w:rsidRPr="00B86C6F">
              <w:rPr>
                <w:rFonts w:ascii="Bookman Old Style" w:hAnsi="Bookman Old Style" w:cs="Times New Roman"/>
                <w:b/>
                <w:color w:val="000000" w:themeColor="text1"/>
                <w:sz w:val="20"/>
                <w:szCs w:val="20"/>
              </w:rPr>
              <w:t xml:space="preserve"> ou </w:t>
            </w:r>
            <w:proofErr w:type="spellStart"/>
            <w:r w:rsidRPr="00B86C6F">
              <w:rPr>
                <w:rFonts w:ascii="Bookman Old Style" w:hAnsi="Bookman Old Style" w:cs="Times New Roman"/>
                <w:b/>
                <w:color w:val="000000" w:themeColor="text1"/>
                <w:sz w:val="20"/>
                <w:szCs w:val="20"/>
              </w:rPr>
              <w:t>stricto</w:t>
            </w:r>
            <w:proofErr w:type="spellEnd"/>
            <w:r w:rsidRPr="00B86C6F">
              <w:rPr>
                <w:rFonts w:ascii="Bookman Old Style" w:hAnsi="Bookman Old Style" w:cs="Times New Roman"/>
                <w:b/>
                <w:color w:val="000000" w:themeColor="text1"/>
                <w:sz w:val="20"/>
                <w:szCs w:val="20"/>
              </w:rPr>
              <w:t xml:space="preserve"> </w:t>
            </w:r>
            <w:proofErr w:type="spellStart"/>
            <w:r w:rsidRPr="00B86C6F">
              <w:rPr>
                <w:rFonts w:ascii="Bookman Old Style" w:hAnsi="Bookman Old Style" w:cs="Times New Roman"/>
                <w:b/>
                <w:color w:val="000000" w:themeColor="text1"/>
                <w:sz w:val="20"/>
                <w:szCs w:val="20"/>
              </w:rPr>
              <w:t>sensu</w:t>
            </w:r>
            <w:proofErr w:type="spellEnd"/>
            <w:r w:rsidRPr="00B86C6F">
              <w:rPr>
                <w:rFonts w:ascii="Bookman Old Style" w:hAnsi="Bookman Old Style" w:cs="Times New Roman"/>
                <w:b/>
                <w:color w:val="000000" w:themeColor="text1"/>
                <w:sz w:val="20"/>
                <w:szCs w:val="20"/>
              </w:rPr>
              <w:t>.</w:t>
            </w:r>
          </w:p>
        </w:tc>
      </w:tr>
      <w:tr w:rsidR="00B86C6F" w:rsidRPr="00D049A9" w:rsidTr="00490E4D">
        <w:tblPrEx>
          <w:tblCellMar>
            <w:left w:w="108" w:type="dxa"/>
            <w:right w:w="108" w:type="dxa"/>
          </w:tblCellMar>
          <w:tblLook w:val="04A0"/>
        </w:tblPrEx>
        <w:trPr>
          <w:gridBefore w:val="1"/>
          <w:wBefore w:w="1403" w:type="dxa"/>
          <w:trHeight w:val="325"/>
        </w:trPr>
        <w:tc>
          <w:tcPr>
            <w:tcW w:w="1326" w:type="dxa"/>
            <w:vAlign w:val="center"/>
          </w:tcPr>
          <w:p w:rsidR="00B86C6F" w:rsidRPr="00D049A9" w:rsidRDefault="00B86C6F"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3048" w:type="dxa"/>
            <w:gridSpan w:val="2"/>
            <w:vAlign w:val="center"/>
          </w:tcPr>
          <w:p w:rsidR="00B86C6F" w:rsidRPr="00D049A9" w:rsidRDefault="00B86C6F"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B86C6F" w:rsidRPr="00D049A9" w:rsidRDefault="00B86C6F" w:rsidP="00B86C6F">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B86C6F" w:rsidRPr="00D049A9" w:rsidTr="00490E4D">
        <w:trPr>
          <w:trHeight w:val="284"/>
        </w:trPr>
        <w:tc>
          <w:tcPr>
            <w:tcW w:w="1403" w:type="dxa"/>
            <w:vMerge w:val="restart"/>
            <w:tcBorders>
              <w:top w:val="nil"/>
              <w:left w:val="nil"/>
              <w:bottom w:val="nil"/>
            </w:tcBorders>
            <w:shd w:val="clear" w:color="auto" w:fill="auto"/>
            <w:vAlign w:val="center"/>
          </w:tcPr>
          <w:p w:rsidR="00B86C6F" w:rsidRPr="00D049A9" w:rsidRDefault="00B86C6F" w:rsidP="00B86C6F">
            <w:pPr>
              <w:jc w:val="center"/>
              <w:rPr>
                <w:rFonts w:ascii="Bookman Old Style" w:hAnsi="Bookman Old Style" w:cs="Times New Roman"/>
                <w:color w:val="000000" w:themeColor="text1"/>
                <w:sz w:val="20"/>
                <w:szCs w:val="20"/>
              </w:rPr>
            </w:pPr>
          </w:p>
        </w:tc>
        <w:tc>
          <w:tcPr>
            <w:tcW w:w="1326" w:type="dxa"/>
            <w:vMerge w:val="restart"/>
            <w:vAlign w:val="center"/>
          </w:tcPr>
          <w:p w:rsidR="00B86C6F" w:rsidRPr="00D049A9" w:rsidRDefault="00B86C6F"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50,00%</w:t>
            </w:r>
          </w:p>
        </w:tc>
        <w:tc>
          <w:tcPr>
            <w:tcW w:w="1380" w:type="dxa"/>
            <w:vAlign w:val="center"/>
          </w:tcPr>
          <w:p w:rsidR="00B86C6F" w:rsidRPr="00D049A9" w:rsidRDefault="00B86C6F" w:rsidP="00B86C6F">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68" w:type="dxa"/>
            <w:vAlign w:val="center"/>
          </w:tcPr>
          <w:p w:rsidR="00B86C6F" w:rsidRPr="00D049A9" w:rsidRDefault="00B86C6F"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53,80%</w:t>
            </w:r>
          </w:p>
        </w:tc>
        <w:tc>
          <w:tcPr>
            <w:tcW w:w="4649" w:type="dxa"/>
            <w:vAlign w:val="center"/>
          </w:tcPr>
          <w:p w:rsidR="00B86C6F" w:rsidRDefault="00B86C6F" w:rsidP="00B86C6F">
            <w:pPr>
              <w:jc w:val="both"/>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Fonte: PNE em Movimento – disponível em: http://sime</w:t>
            </w:r>
            <w:r>
              <w:rPr>
                <w:rFonts w:ascii="Bookman Old Style" w:hAnsi="Bookman Old Style" w:cs="Times New Roman"/>
                <w:color w:val="000000" w:themeColor="text1"/>
                <w:sz w:val="20"/>
                <w:szCs w:val="20"/>
              </w:rPr>
              <w:t>c.mec.gov.br/pde/graficopne.php.</w:t>
            </w:r>
          </w:p>
          <w:p w:rsidR="00B86C6F" w:rsidRPr="00D049A9" w:rsidRDefault="00B86C6F" w:rsidP="00B86C6F">
            <w:pPr>
              <w:jc w:val="both"/>
              <w:rPr>
                <w:rFonts w:ascii="Bookman Old Style" w:hAnsi="Bookman Old Style" w:cs="Times New Roman"/>
                <w:color w:val="000000" w:themeColor="text1"/>
                <w:sz w:val="20"/>
                <w:szCs w:val="20"/>
              </w:rPr>
            </w:pPr>
            <w:r>
              <w:t>**acesso em dezembro de 2016.</w:t>
            </w:r>
          </w:p>
        </w:tc>
      </w:tr>
      <w:tr w:rsidR="00B86C6F" w:rsidRPr="00D049A9" w:rsidTr="00490E4D">
        <w:trPr>
          <w:trHeight w:val="284"/>
        </w:trPr>
        <w:tc>
          <w:tcPr>
            <w:tcW w:w="1403" w:type="dxa"/>
            <w:vMerge/>
            <w:tcBorders>
              <w:left w:val="nil"/>
              <w:bottom w:val="nil"/>
            </w:tcBorders>
            <w:shd w:val="clear" w:color="auto" w:fill="auto"/>
            <w:vAlign w:val="center"/>
          </w:tcPr>
          <w:p w:rsidR="00B86C6F" w:rsidRPr="00D049A9" w:rsidRDefault="00B86C6F" w:rsidP="00B86C6F">
            <w:pPr>
              <w:jc w:val="center"/>
              <w:rPr>
                <w:rFonts w:ascii="Bookman Old Style" w:hAnsi="Bookman Old Style" w:cs="Times New Roman"/>
                <w:color w:val="000000" w:themeColor="text1"/>
                <w:sz w:val="20"/>
                <w:szCs w:val="20"/>
              </w:rPr>
            </w:pPr>
          </w:p>
        </w:tc>
        <w:tc>
          <w:tcPr>
            <w:tcW w:w="1326" w:type="dxa"/>
            <w:vMerge/>
            <w:vAlign w:val="center"/>
          </w:tcPr>
          <w:p w:rsidR="00B86C6F" w:rsidRPr="00D049A9" w:rsidRDefault="00B86C6F" w:rsidP="00B86C6F">
            <w:pPr>
              <w:jc w:val="center"/>
              <w:rPr>
                <w:rFonts w:ascii="Bookman Old Style" w:hAnsi="Bookman Old Style" w:cs="Times New Roman"/>
                <w:b/>
                <w:color w:val="000000" w:themeColor="text1"/>
                <w:sz w:val="20"/>
                <w:szCs w:val="20"/>
              </w:rPr>
            </w:pPr>
          </w:p>
        </w:tc>
        <w:tc>
          <w:tcPr>
            <w:tcW w:w="1380" w:type="dxa"/>
            <w:vAlign w:val="center"/>
          </w:tcPr>
          <w:p w:rsidR="00B86C6F" w:rsidRPr="00D049A9" w:rsidRDefault="00B86C6F" w:rsidP="00B86C6F">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68" w:type="dxa"/>
            <w:vAlign w:val="center"/>
          </w:tcPr>
          <w:p w:rsidR="00B86C6F" w:rsidRPr="00D049A9" w:rsidRDefault="00B86C6F" w:rsidP="00B86C6F">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95,00%</w:t>
            </w:r>
          </w:p>
        </w:tc>
        <w:tc>
          <w:tcPr>
            <w:tcW w:w="4649" w:type="dxa"/>
            <w:vAlign w:val="center"/>
          </w:tcPr>
          <w:p w:rsidR="00B86C6F" w:rsidRPr="00D049A9" w:rsidRDefault="00B86C6F" w:rsidP="00B86C6F">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Fonte: Sistema Municipal de Ensino e Secretaria Municipal de Educação.</w:t>
            </w:r>
          </w:p>
        </w:tc>
      </w:tr>
    </w:tbl>
    <w:p w:rsidR="00237FD7" w:rsidRDefault="00237FD7" w:rsidP="00B86C6F">
      <w:pPr>
        <w:rPr>
          <w:rFonts w:ascii="Bookman Old Style" w:hAnsi="Bookman Old Style" w:cs="Times New Roman"/>
          <w:color w:val="000000" w:themeColor="text1"/>
          <w:sz w:val="24"/>
          <w:szCs w:val="24"/>
        </w:rPr>
      </w:pPr>
    </w:p>
    <w:p w:rsidR="00B86C6F" w:rsidRPr="00237FD7" w:rsidRDefault="00B86C6F" w:rsidP="00B86C6F">
      <w:pPr>
        <w:rPr>
          <w:rFonts w:ascii="Bookman Old Style" w:hAnsi="Bookman Old Style" w:cs="Times New Roman"/>
          <w:b/>
          <w:color w:val="000000" w:themeColor="text1"/>
          <w:sz w:val="24"/>
          <w:szCs w:val="24"/>
        </w:rPr>
      </w:pPr>
      <w:r w:rsidRPr="00237FD7">
        <w:rPr>
          <w:rFonts w:ascii="Bookman Old Style" w:hAnsi="Bookman Old Style" w:cs="Times New Roman"/>
          <w:b/>
          <w:color w:val="000000" w:themeColor="text1"/>
          <w:sz w:val="24"/>
          <w:szCs w:val="24"/>
        </w:rPr>
        <w:t>Contextualização da Meta:</w:t>
      </w:r>
    </w:p>
    <w:p w:rsidR="00B86C6F" w:rsidRPr="00B86C6F" w:rsidRDefault="00B86C6F" w:rsidP="00237FD7">
      <w:pPr>
        <w:ind w:firstLine="567"/>
        <w:jc w:val="both"/>
        <w:rPr>
          <w:rFonts w:ascii="Bookman Old Style" w:hAnsi="Bookman Old Style" w:cs="Times New Roman"/>
          <w:color w:val="000000" w:themeColor="text1"/>
          <w:sz w:val="24"/>
          <w:szCs w:val="24"/>
        </w:rPr>
      </w:pPr>
      <w:r w:rsidRPr="00B86C6F">
        <w:rPr>
          <w:rFonts w:ascii="Bookman Old Style" w:hAnsi="Bookman Old Style" w:cs="Times New Roman"/>
          <w:color w:val="000000" w:themeColor="text1"/>
          <w:sz w:val="24"/>
          <w:szCs w:val="24"/>
        </w:rPr>
        <w:t xml:space="preserve">A meta de número 16 do Plano Municipal de Educação objeta formar em nível de pós-graduação o mínimo de 50% dos professores da educação básica, até o último ano de vigência do Plano, bem como garantir a estes a formação continuada. Indubitavelmente é de grande relevância a formação do docente para podermos objetar e almejar uma educação mais qualificada em todos os sentidos. Primeiramente no tocante á valorização do profissional, tanto do ponto de vista do conhecimento adquirido, como das questões salariais, uma vez que nos planos de carreira </w:t>
      </w:r>
      <w:proofErr w:type="gramStart"/>
      <w:r w:rsidRPr="00B86C6F">
        <w:rPr>
          <w:rFonts w:ascii="Bookman Old Style" w:hAnsi="Bookman Old Style" w:cs="Times New Roman"/>
          <w:color w:val="000000" w:themeColor="text1"/>
          <w:sz w:val="24"/>
          <w:szCs w:val="24"/>
        </w:rPr>
        <w:t>prevêem</w:t>
      </w:r>
      <w:proofErr w:type="gramEnd"/>
      <w:r w:rsidRPr="00B86C6F">
        <w:rPr>
          <w:rFonts w:ascii="Bookman Old Style" w:hAnsi="Bookman Old Style" w:cs="Times New Roman"/>
          <w:color w:val="000000" w:themeColor="text1"/>
          <w:sz w:val="24"/>
          <w:szCs w:val="24"/>
        </w:rPr>
        <w:t xml:space="preserve"> incentivos financeiros concernentes a formação dos docentes.</w:t>
      </w:r>
    </w:p>
    <w:p w:rsidR="00FF353F" w:rsidRDefault="00B86C6F" w:rsidP="00237FD7">
      <w:pPr>
        <w:ind w:firstLine="567"/>
        <w:jc w:val="both"/>
        <w:rPr>
          <w:rFonts w:ascii="Bookman Old Style" w:hAnsi="Bookman Old Style" w:cs="Times New Roman"/>
          <w:color w:val="000000" w:themeColor="text1"/>
          <w:sz w:val="24"/>
          <w:szCs w:val="24"/>
        </w:rPr>
      </w:pPr>
      <w:r w:rsidRPr="00B86C6F">
        <w:rPr>
          <w:rFonts w:ascii="Bookman Old Style" w:hAnsi="Bookman Old Style" w:cs="Times New Roman"/>
          <w:color w:val="000000" w:themeColor="text1"/>
          <w:sz w:val="24"/>
          <w:szCs w:val="24"/>
        </w:rPr>
        <w:t xml:space="preserve">As estratégias relacionadas a esta meta, convergem para atender ao preconizado no Plano. Realizando um levantamento do corpo docente ensejando verificar in loco as necessidades, promover em regime de colaboração com Estado e União programas de formação continuada dos profissionais, bem como no acesso a informação eletrônica e qualificativa. E </w:t>
      </w:r>
      <w:r w:rsidRPr="00B86C6F">
        <w:rPr>
          <w:rFonts w:ascii="Bookman Old Style" w:hAnsi="Bookman Old Style" w:cs="Times New Roman"/>
          <w:color w:val="000000" w:themeColor="text1"/>
          <w:sz w:val="24"/>
          <w:szCs w:val="24"/>
        </w:rPr>
        <w:lastRenderedPageBreak/>
        <w:t>prever nos plano de carreira licença do profissional para a realização de cursos em nível de pós-graduação “</w:t>
      </w:r>
      <w:proofErr w:type="spellStart"/>
      <w:r w:rsidRPr="00B86C6F">
        <w:rPr>
          <w:rFonts w:ascii="Bookman Old Style" w:hAnsi="Bookman Old Style" w:cs="Times New Roman"/>
          <w:color w:val="000000" w:themeColor="text1"/>
          <w:sz w:val="24"/>
          <w:szCs w:val="24"/>
        </w:rPr>
        <w:t>stricto</w:t>
      </w:r>
      <w:proofErr w:type="spellEnd"/>
      <w:r w:rsidRPr="00B86C6F">
        <w:rPr>
          <w:rFonts w:ascii="Bookman Old Style" w:hAnsi="Bookman Old Style" w:cs="Times New Roman"/>
          <w:color w:val="000000" w:themeColor="text1"/>
          <w:sz w:val="24"/>
          <w:szCs w:val="24"/>
        </w:rPr>
        <w:t xml:space="preserve"> </w:t>
      </w:r>
      <w:proofErr w:type="spellStart"/>
      <w:r w:rsidRPr="00B86C6F">
        <w:rPr>
          <w:rFonts w:ascii="Bookman Old Style" w:hAnsi="Bookman Old Style" w:cs="Times New Roman"/>
          <w:color w:val="000000" w:themeColor="text1"/>
          <w:sz w:val="24"/>
          <w:szCs w:val="24"/>
        </w:rPr>
        <w:t>sensu</w:t>
      </w:r>
      <w:proofErr w:type="spellEnd"/>
      <w:r w:rsidRPr="00B86C6F">
        <w:rPr>
          <w:rFonts w:ascii="Bookman Old Style" w:hAnsi="Bookman Old Style" w:cs="Times New Roman"/>
          <w:color w:val="000000" w:themeColor="text1"/>
          <w:sz w:val="24"/>
          <w:szCs w:val="24"/>
        </w:rPr>
        <w:t>” sem prejuízo a remuneração.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237FD7" w:rsidRPr="00540B0B" w:rsidTr="00C67879">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237FD7" w:rsidRPr="00540B0B" w:rsidRDefault="00237FD7" w:rsidP="00C67879">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237FD7" w:rsidRPr="00540B0B" w:rsidRDefault="00237FD7"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237FD7" w:rsidRPr="00540B0B" w:rsidRDefault="00237FD7"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237FD7" w:rsidRPr="00540B0B" w:rsidRDefault="00237FD7"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237FD7" w:rsidRDefault="00237FD7" w:rsidP="00C67879">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237FD7" w:rsidRPr="00540B0B" w:rsidRDefault="00237FD7" w:rsidP="00C6787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237FD7" w:rsidRPr="00237FD7" w:rsidTr="00237FD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both"/>
              <w:rPr>
                <w:rFonts w:ascii="Calibri" w:eastAsia="Times New Roman" w:hAnsi="Calibri" w:cs="Calibri"/>
                <w:color w:val="000000"/>
                <w:lang w:eastAsia="pt-BR"/>
              </w:rPr>
            </w:pPr>
            <w:r w:rsidRPr="00237FD7">
              <w:rPr>
                <w:rFonts w:ascii="Calibri" w:eastAsia="Times New Roman" w:hAnsi="Calibri" w:cs="Calibri"/>
                <w:color w:val="000000"/>
                <w:lang w:eastAsia="pt-BR"/>
              </w:rPr>
              <w:t>16.1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Realizar, em regime de colaboração, o planejamento estratégico para dimensionamento da demanda por formação continuada aos professores da rede pública do município.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237FD7" w:rsidRPr="00237FD7" w:rsidTr="00237FD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both"/>
              <w:rPr>
                <w:rFonts w:ascii="Calibri" w:eastAsia="Times New Roman" w:hAnsi="Calibri" w:cs="Calibri"/>
                <w:color w:val="000000"/>
                <w:lang w:eastAsia="pt-BR"/>
              </w:rPr>
            </w:pPr>
            <w:r w:rsidRPr="00237FD7">
              <w:rPr>
                <w:rFonts w:ascii="Calibri" w:eastAsia="Times New Roman" w:hAnsi="Calibri" w:cs="Calibri"/>
                <w:color w:val="000000"/>
                <w:lang w:eastAsia="pt-BR"/>
              </w:rPr>
              <w:t>16.2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 xml:space="preserve">Ampliar e consolidar efetivamente portal eletrônico em todas as escolas, para subsidiar o professor na preparação de aulas, disponibilizando gratuitamente material didático pedagógico e suplementar. </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237FD7" w:rsidRPr="00237FD7" w:rsidTr="00237FD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both"/>
              <w:rPr>
                <w:rFonts w:ascii="Calibri" w:eastAsia="Times New Roman" w:hAnsi="Calibri" w:cs="Calibri"/>
                <w:color w:val="000000"/>
                <w:lang w:eastAsia="pt-BR"/>
              </w:rPr>
            </w:pPr>
            <w:r w:rsidRPr="00237FD7">
              <w:rPr>
                <w:rFonts w:ascii="Calibri" w:eastAsia="Times New Roman" w:hAnsi="Calibri" w:cs="Calibri"/>
                <w:color w:val="000000"/>
                <w:lang w:eastAsia="pt-BR"/>
              </w:rPr>
              <w:t>16.3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 xml:space="preserve"> Instrumentalizar em regime de colaboração com a união, os professores, para que tenham acesso e formação aos meios eletrônicos.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237FD7" w:rsidRPr="00237FD7" w:rsidTr="00237FD7">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both"/>
              <w:rPr>
                <w:rFonts w:ascii="Calibri" w:eastAsia="Times New Roman" w:hAnsi="Calibri" w:cs="Calibri"/>
                <w:color w:val="000000"/>
                <w:lang w:eastAsia="pt-BR"/>
              </w:rPr>
            </w:pPr>
            <w:r w:rsidRPr="00237FD7">
              <w:rPr>
                <w:rFonts w:ascii="Calibri" w:eastAsia="Times New Roman" w:hAnsi="Calibri" w:cs="Calibri"/>
                <w:color w:val="000000"/>
                <w:lang w:eastAsia="pt-BR"/>
              </w:rPr>
              <w:t>16.4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Prever, nos planos de carreira dos profissionais da educação da Rede Pública de Ensino do Município, licença para qualificação profissional em nível de pós-graduação “</w:t>
            </w:r>
            <w:proofErr w:type="spellStart"/>
            <w:r w:rsidRPr="00237FD7">
              <w:rPr>
                <w:rFonts w:ascii="Calibri" w:eastAsia="Times New Roman" w:hAnsi="Calibri" w:cs="Calibri"/>
                <w:color w:val="000000"/>
                <w:lang w:eastAsia="pt-BR"/>
              </w:rPr>
              <w:t>stricto</w:t>
            </w:r>
            <w:proofErr w:type="spellEnd"/>
            <w:r w:rsidRPr="00237FD7">
              <w:rPr>
                <w:rFonts w:ascii="Calibri" w:eastAsia="Times New Roman" w:hAnsi="Calibri" w:cs="Calibri"/>
                <w:color w:val="000000"/>
                <w:lang w:eastAsia="pt-BR"/>
              </w:rPr>
              <w:t xml:space="preserve"> </w:t>
            </w:r>
            <w:proofErr w:type="spellStart"/>
            <w:r w:rsidRPr="00237FD7">
              <w:rPr>
                <w:rFonts w:ascii="Calibri" w:eastAsia="Times New Roman" w:hAnsi="Calibri" w:cs="Calibri"/>
                <w:color w:val="000000"/>
                <w:lang w:eastAsia="pt-BR"/>
              </w:rPr>
              <w:t>sensu</w:t>
            </w:r>
            <w:proofErr w:type="spellEnd"/>
            <w:r w:rsidRPr="00237FD7">
              <w:rPr>
                <w:rFonts w:ascii="Calibri" w:eastAsia="Times New Roman" w:hAnsi="Calibri" w:cs="Calibri"/>
                <w:color w:val="000000"/>
                <w:lang w:eastAsia="pt-BR"/>
              </w:rPr>
              <w:t>”, sem prejuízo na remuneração.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rPr>
                <w:rFonts w:ascii="Calibri" w:eastAsia="Times New Roman" w:hAnsi="Calibri" w:cs="Calibri"/>
                <w:color w:val="000000"/>
                <w:lang w:eastAsia="pt-BR"/>
              </w:rPr>
            </w:pPr>
            <w:r w:rsidRPr="00237FD7">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37FD7" w:rsidRPr="00237FD7" w:rsidRDefault="00237FD7" w:rsidP="00237FD7">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bl>
    <w:p w:rsidR="00FF353F" w:rsidRDefault="00FF353F" w:rsidP="00F76E84">
      <w:pPr>
        <w:rPr>
          <w:rFonts w:ascii="Bookman Old Style" w:hAnsi="Bookman Old Style" w:cs="Times New Roman"/>
          <w:color w:val="000000" w:themeColor="text1"/>
          <w:sz w:val="24"/>
          <w:szCs w:val="24"/>
        </w:rPr>
      </w:pPr>
    </w:p>
    <w:p w:rsidR="00237FD7" w:rsidRPr="00237FD7" w:rsidRDefault="00237FD7" w:rsidP="00237FD7">
      <w:pPr>
        <w:rPr>
          <w:rFonts w:ascii="Bookman Old Style" w:hAnsi="Bookman Old Style" w:cs="Times New Roman"/>
          <w:b/>
          <w:color w:val="000000" w:themeColor="text1"/>
          <w:sz w:val="24"/>
          <w:szCs w:val="24"/>
        </w:rPr>
      </w:pPr>
      <w:r w:rsidRPr="00237FD7">
        <w:rPr>
          <w:rFonts w:ascii="Bookman Old Style" w:hAnsi="Bookman Old Style" w:cs="Times New Roman"/>
          <w:b/>
          <w:color w:val="000000" w:themeColor="text1"/>
          <w:sz w:val="24"/>
          <w:szCs w:val="24"/>
        </w:rPr>
        <w:t>Conclusão a respeito da Meta:</w:t>
      </w:r>
    </w:p>
    <w:p w:rsidR="00237FD7" w:rsidRPr="00237FD7" w:rsidRDefault="00237FD7" w:rsidP="00237FD7">
      <w:pPr>
        <w:ind w:firstLine="567"/>
        <w:jc w:val="both"/>
        <w:rPr>
          <w:rFonts w:ascii="Bookman Old Style" w:hAnsi="Bookman Old Style" w:cs="Times New Roman"/>
          <w:color w:val="000000" w:themeColor="text1"/>
          <w:sz w:val="24"/>
          <w:szCs w:val="24"/>
        </w:rPr>
      </w:pPr>
      <w:r w:rsidRPr="00237FD7">
        <w:rPr>
          <w:rFonts w:ascii="Bookman Old Style" w:hAnsi="Bookman Old Style" w:cs="Times New Roman"/>
          <w:color w:val="000000" w:themeColor="text1"/>
          <w:sz w:val="24"/>
          <w:szCs w:val="24"/>
        </w:rPr>
        <w:t>A formação dos docentes é de fundamental importância quando pensamos numa educação de qualidade, no âmbito do município de Paulo Bento temos de acordo como os dados 95% dos docentes com formação de pós-graduação. Estes dados refletem a qualificação dos docentes que atuam na Rede Estadual e Sistema Municipal de Ensino. Os resultados alcançados na etapa do monitoramento perfazem 95</w:t>
      </w:r>
      <w:r w:rsidR="00787203">
        <w:rPr>
          <w:rFonts w:ascii="Bookman Old Style" w:hAnsi="Bookman Old Style" w:cs="Times New Roman"/>
          <w:color w:val="000000" w:themeColor="text1"/>
          <w:sz w:val="24"/>
          <w:szCs w:val="24"/>
        </w:rPr>
        <w:t>.</w:t>
      </w:r>
      <w:r w:rsidRPr="00237FD7">
        <w:rPr>
          <w:rFonts w:ascii="Bookman Old Style" w:hAnsi="Bookman Old Style" w:cs="Times New Roman"/>
          <w:color w:val="000000" w:themeColor="text1"/>
          <w:sz w:val="24"/>
          <w:szCs w:val="24"/>
        </w:rPr>
        <w:t xml:space="preserve"> Isto demonstra que com relação a esta meta do Plano, ela esta praticamente atendida no Município de Paulo Bento.</w:t>
      </w:r>
    </w:p>
    <w:p w:rsidR="00237FD7" w:rsidRDefault="00237FD7" w:rsidP="00237FD7">
      <w:pPr>
        <w:ind w:firstLine="567"/>
        <w:jc w:val="both"/>
        <w:rPr>
          <w:rFonts w:ascii="Bookman Old Style" w:hAnsi="Bookman Old Style" w:cs="Times New Roman"/>
          <w:color w:val="000000" w:themeColor="text1"/>
          <w:sz w:val="24"/>
          <w:szCs w:val="24"/>
        </w:rPr>
      </w:pPr>
      <w:r w:rsidRPr="00237FD7">
        <w:rPr>
          <w:rFonts w:ascii="Bookman Old Style" w:hAnsi="Bookman Old Style" w:cs="Times New Roman"/>
          <w:color w:val="000000" w:themeColor="text1"/>
          <w:sz w:val="24"/>
          <w:szCs w:val="24"/>
        </w:rPr>
        <w:lastRenderedPageBreak/>
        <w:t>Certamente a formação qualificada dos docentes, impacta de forma positiva do aprendizado dos estudantes. Além de valorizar o profissional da educação (docente), tanto financeiramente, uma vez que é importante a previsão no Plano de Carreira de gratificações salariais, como do ponto de vista intelectual, pois indubitavelmente agregará mais conhecimento a pessoa.</w:t>
      </w:r>
    </w:p>
    <w:p w:rsidR="00490E4D" w:rsidRDefault="00490E4D" w:rsidP="00490E4D">
      <w:pPr>
        <w:pStyle w:val="PargrafodaLista"/>
        <w:numPr>
          <w:ilvl w:val="0"/>
          <w:numId w:val="22"/>
        </w:numPr>
        <w:jc w:val="both"/>
        <w:rPr>
          <w:rFonts w:ascii="Bookman Old Style" w:hAnsi="Bookman Old Style" w:cs="Times New Roman"/>
          <w:b/>
          <w:color w:val="000000" w:themeColor="text1"/>
          <w:sz w:val="24"/>
          <w:szCs w:val="24"/>
        </w:rPr>
      </w:pPr>
      <w:r w:rsidRPr="00047456">
        <w:rPr>
          <w:rFonts w:ascii="Bookman Old Style" w:hAnsi="Bookman Old Style" w:cs="Times New Roman"/>
          <w:b/>
          <w:color w:val="000000" w:themeColor="text1"/>
          <w:sz w:val="24"/>
          <w:szCs w:val="24"/>
        </w:rPr>
        <w:t>Sugestão de Nova Redação da Meta:</w:t>
      </w:r>
    </w:p>
    <w:p w:rsidR="00490E4D" w:rsidRPr="00666FDE" w:rsidRDefault="00490E4D" w:rsidP="00490E4D">
      <w:pPr>
        <w:ind w:firstLine="567"/>
        <w:jc w:val="both"/>
        <w:rPr>
          <w:rFonts w:ascii="Bookman Old Style" w:hAnsi="Bookman Old Style" w:cs="Times New Roman"/>
          <w:i/>
          <w:color w:val="000000" w:themeColor="text1"/>
          <w:sz w:val="24"/>
          <w:szCs w:val="24"/>
        </w:rPr>
      </w:pPr>
      <w:r>
        <w:rPr>
          <w:rFonts w:ascii="Bookman Old Style" w:hAnsi="Bookman Old Style" w:cs="Times New Roman"/>
          <w:color w:val="000000" w:themeColor="text1"/>
          <w:sz w:val="24"/>
          <w:szCs w:val="24"/>
        </w:rPr>
        <w:t>Com relação à Meta nº. 16</w:t>
      </w:r>
      <w:r w:rsidRPr="00666FDE">
        <w:rPr>
          <w:rFonts w:ascii="Bookman Old Style" w:hAnsi="Bookman Old Style" w:cs="Times New Roman"/>
          <w:color w:val="000000" w:themeColor="text1"/>
          <w:sz w:val="24"/>
          <w:szCs w:val="24"/>
        </w:rPr>
        <w:t>, após análise, e considerando que a sua redação não está em concordância com o PNE, propõe-se a seguinte adequação a ser realizada na íntegra:</w:t>
      </w:r>
    </w:p>
    <w:p w:rsidR="00490E4D" w:rsidRDefault="00490E4D" w:rsidP="00490E4D">
      <w:pPr>
        <w:jc w:val="both"/>
        <w:rPr>
          <w:rFonts w:ascii="Bookman Old Style" w:hAnsi="Bookman Old Style" w:cs="Times New Roman"/>
          <w:i/>
          <w:color w:val="000000" w:themeColor="text1"/>
          <w:sz w:val="24"/>
          <w:szCs w:val="24"/>
        </w:rPr>
      </w:pPr>
      <w:r w:rsidRPr="00490E4D">
        <w:rPr>
          <w:rFonts w:ascii="Bookman Old Style" w:hAnsi="Bookman Old Style" w:cs="Times New Roman"/>
          <w:i/>
          <w:color w:val="000000" w:themeColor="text1"/>
          <w:sz w:val="24"/>
          <w:szCs w:val="24"/>
        </w:rPr>
        <w:t>“Formar, em nível de pós-graduação, 50% (</w:t>
      </w:r>
      <w:proofErr w:type="spellStart"/>
      <w:r w:rsidRPr="00490E4D">
        <w:rPr>
          <w:rFonts w:ascii="Bookman Old Style" w:hAnsi="Bookman Old Style" w:cs="Times New Roman"/>
          <w:i/>
          <w:color w:val="000000" w:themeColor="text1"/>
          <w:sz w:val="24"/>
          <w:szCs w:val="24"/>
        </w:rPr>
        <w:t>cinquenta</w:t>
      </w:r>
      <w:proofErr w:type="spellEnd"/>
      <w:r w:rsidRPr="00490E4D">
        <w:rPr>
          <w:rFonts w:ascii="Bookman Old Style" w:hAnsi="Bookman Old Style" w:cs="Times New Roman"/>
          <w:i/>
          <w:color w:val="000000" w:themeColor="text1"/>
          <w:sz w:val="24"/>
          <w:szCs w:val="24"/>
        </w:rPr>
        <w:t xml:space="preserve"> por cento) dos professores da educação básica, </w:t>
      </w:r>
      <w:r w:rsidRPr="00490E4D">
        <w:rPr>
          <w:rFonts w:ascii="Bookman Old Style" w:hAnsi="Bookman Old Style" w:cs="Times New Roman"/>
          <w:i/>
          <w:color w:val="000000" w:themeColor="text1"/>
          <w:sz w:val="24"/>
          <w:szCs w:val="24"/>
          <w:highlight w:val="lightGray"/>
        </w:rPr>
        <w:t>até o último ano de vigência deste PNE,</w:t>
      </w:r>
      <w:r w:rsidRPr="00490E4D">
        <w:rPr>
          <w:rFonts w:ascii="Bookman Old Style" w:hAnsi="Bookman Old Style" w:cs="Times New Roman"/>
          <w:i/>
          <w:color w:val="000000" w:themeColor="text1"/>
          <w:sz w:val="24"/>
          <w:szCs w:val="24"/>
        </w:rPr>
        <w:t xml:space="preserve"> e garantir a todos (as) os (as) profissionais da educação básica formação continuada em sua área de atuação, considerando as necessidades, demandas e contextualizações dos sistemas de ensino.”</w:t>
      </w:r>
    </w:p>
    <w:p w:rsidR="00F76E84" w:rsidRPr="00D81FEF" w:rsidRDefault="00FC3746" w:rsidP="00D81FEF">
      <w:pPr>
        <w:pStyle w:val="Ttulo1"/>
        <w:numPr>
          <w:ilvl w:val="0"/>
          <w:numId w:val="25"/>
        </w:numPr>
        <w:rPr>
          <w:rFonts w:ascii="Bookman Old Style" w:hAnsi="Bookman Old Style"/>
          <w:color w:val="auto"/>
          <w:sz w:val="24"/>
          <w:szCs w:val="24"/>
        </w:rPr>
      </w:pPr>
      <w:bookmarkStart w:id="20" w:name="_Toc497809486"/>
      <w:r w:rsidRPr="00D81FEF">
        <w:rPr>
          <w:rFonts w:ascii="Bookman Old Style" w:hAnsi="Bookman Old Style"/>
          <w:color w:val="auto"/>
        </w:rPr>
        <w:t xml:space="preserve">Meta sobre </w:t>
      </w:r>
      <w:r w:rsidR="00216EAD" w:rsidRPr="00D81FEF">
        <w:rPr>
          <w:rFonts w:ascii="Bookman Old Style" w:hAnsi="Bookman Old Style"/>
          <w:color w:val="auto"/>
        </w:rPr>
        <w:t>a V</w:t>
      </w:r>
      <w:r w:rsidRPr="00D81FEF">
        <w:rPr>
          <w:rFonts w:ascii="Bookman Old Style" w:hAnsi="Bookman Old Style"/>
          <w:color w:val="auto"/>
        </w:rPr>
        <w:t xml:space="preserve">alorização </w:t>
      </w:r>
      <w:r w:rsidR="00216EAD" w:rsidRPr="00D81FEF">
        <w:rPr>
          <w:rFonts w:ascii="Bookman Old Style" w:hAnsi="Bookman Old Style"/>
          <w:color w:val="auto"/>
        </w:rPr>
        <w:t>do Professor</w:t>
      </w:r>
      <w:bookmarkEnd w:id="20"/>
    </w:p>
    <w:p w:rsidR="00D81FEF" w:rsidRDefault="00D81FEF" w:rsidP="007D1A06">
      <w:pPr>
        <w:rPr>
          <w:rFonts w:ascii="Bookman Old Style" w:hAnsi="Bookman Old Style" w:cs="Times New Roman"/>
          <w:b/>
          <w:color w:val="000000" w:themeColor="text1"/>
          <w:sz w:val="24"/>
          <w:szCs w:val="24"/>
        </w:rPr>
      </w:pPr>
    </w:p>
    <w:p w:rsidR="00A158C9" w:rsidRDefault="00A158C9" w:rsidP="007D1A06">
      <w:pPr>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237FD7">
        <w:rPr>
          <w:rFonts w:ascii="Bookman Old Style" w:hAnsi="Bookman Old Style" w:cs="Times New Roman"/>
          <w:b/>
          <w:color w:val="000000" w:themeColor="text1"/>
          <w:sz w:val="24"/>
          <w:szCs w:val="24"/>
        </w:rPr>
        <w:t xml:space="preserve">nº. 17: </w:t>
      </w:r>
      <w:r w:rsidR="00237FD7" w:rsidRPr="00237FD7">
        <w:rPr>
          <w:rFonts w:ascii="Bookman Old Style" w:hAnsi="Bookman Old Style" w:cs="Times New Roman"/>
          <w:b/>
          <w:color w:val="000000" w:themeColor="text1"/>
          <w:sz w:val="24"/>
          <w:szCs w:val="24"/>
        </w:rPr>
        <w:t>Valorizar os profissionais do magistério das redes públicas da educação básica, a fim de equiparar o rendimento médio dos demais profissionais com escolaridade equivalente, até o final do sexto ano da vigência deste PNE.</w:t>
      </w:r>
    </w:p>
    <w:tbl>
      <w:tblPr>
        <w:tblStyle w:val="Tabelacomgrade"/>
        <w:tblW w:w="10426" w:type="dxa"/>
        <w:tblInd w:w="-1386" w:type="dxa"/>
        <w:tblCellMar>
          <w:left w:w="70" w:type="dxa"/>
          <w:right w:w="70" w:type="dxa"/>
        </w:tblCellMar>
        <w:tblLook w:val="0000"/>
      </w:tblPr>
      <w:tblGrid>
        <w:gridCol w:w="1435"/>
        <w:gridCol w:w="1328"/>
        <w:gridCol w:w="1380"/>
        <w:gridCol w:w="1688"/>
        <w:gridCol w:w="4595"/>
      </w:tblGrid>
      <w:tr w:rsidR="00A2533E" w:rsidRPr="00D049A9" w:rsidTr="00C67879">
        <w:trPr>
          <w:gridBefore w:val="1"/>
          <w:wBefore w:w="1456" w:type="dxa"/>
          <w:trHeight w:val="948"/>
        </w:trPr>
        <w:tc>
          <w:tcPr>
            <w:tcW w:w="1330" w:type="dxa"/>
            <w:vAlign w:val="center"/>
          </w:tcPr>
          <w:p w:rsidR="00A2533E" w:rsidRPr="00D049A9" w:rsidRDefault="00A2533E" w:rsidP="00C67879">
            <w:pPr>
              <w:rPr>
                <w:rFonts w:ascii="Bookman Old Style" w:hAnsi="Bookman Old Style" w:cs="Times New Roman"/>
                <w:color w:val="000000" w:themeColor="text1"/>
                <w:sz w:val="20"/>
                <w:szCs w:val="20"/>
              </w:rPr>
            </w:pPr>
          </w:p>
          <w:p w:rsidR="00A2533E" w:rsidRDefault="00A2533E" w:rsidP="00C67879">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Indicador</w:t>
            </w:r>
          </w:p>
          <w:p w:rsidR="00A2533E" w:rsidRPr="00D049A9" w:rsidRDefault="00A2533E" w:rsidP="00C67879">
            <w:pPr>
              <w:jc w:val="center"/>
              <w:rPr>
                <w:rFonts w:ascii="Bookman Old Style" w:hAnsi="Bookman Old Style" w:cs="Times New Roman"/>
                <w:color w:val="000000" w:themeColor="text1"/>
                <w:sz w:val="20"/>
                <w:szCs w:val="20"/>
              </w:rPr>
            </w:pPr>
            <w:r>
              <w:rPr>
                <w:rFonts w:ascii="Bookman Old Style" w:hAnsi="Bookman Old Style" w:cs="Times New Roman"/>
                <w:b/>
                <w:color w:val="000000" w:themeColor="text1"/>
                <w:sz w:val="20"/>
                <w:szCs w:val="20"/>
              </w:rPr>
              <w:t>17 A</w:t>
            </w:r>
          </w:p>
          <w:p w:rsidR="00A2533E" w:rsidRPr="00D049A9" w:rsidRDefault="00A2533E" w:rsidP="00C67879">
            <w:pPr>
              <w:jc w:val="center"/>
              <w:rPr>
                <w:rFonts w:ascii="Bookman Old Style" w:hAnsi="Bookman Old Style" w:cs="Times New Roman"/>
                <w:color w:val="000000" w:themeColor="text1"/>
                <w:sz w:val="20"/>
                <w:szCs w:val="20"/>
              </w:rPr>
            </w:pPr>
          </w:p>
        </w:tc>
        <w:tc>
          <w:tcPr>
            <w:tcW w:w="7640" w:type="dxa"/>
            <w:gridSpan w:val="3"/>
            <w:vAlign w:val="center"/>
          </w:tcPr>
          <w:p w:rsidR="00A2533E" w:rsidRPr="00D049A9" w:rsidRDefault="00A2533E" w:rsidP="00C67879">
            <w:pPr>
              <w:jc w:val="center"/>
              <w:rPr>
                <w:rFonts w:ascii="Bookman Old Style" w:hAnsi="Bookman Old Style" w:cs="Times New Roman"/>
                <w:b/>
                <w:color w:val="000000" w:themeColor="text1"/>
                <w:sz w:val="20"/>
                <w:szCs w:val="20"/>
              </w:rPr>
            </w:pPr>
            <w:r w:rsidRPr="00A2533E">
              <w:rPr>
                <w:rFonts w:ascii="Bookman Old Style" w:hAnsi="Bookman Old Style" w:cs="Times New Roman"/>
                <w:b/>
                <w:color w:val="000000" w:themeColor="text1"/>
                <w:sz w:val="20"/>
                <w:szCs w:val="20"/>
              </w:rPr>
              <w:t>Razão entre o salário médio de professores da educação básica da rede pública (não federal) e o salário médio de não professores, com escolaridade equivalente.</w:t>
            </w:r>
          </w:p>
        </w:tc>
      </w:tr>
      <w:tr w:rsidR="00A2533E" w:rsidRPr="00D049A9" w:rsidTr="00C67879">
        <w:tblPrEx>
          <w:tblCellMar>
            <w:left w:w="108" w:type="dxa"/>
            <w:right w:w="108" w:type="dxa"/>
          </w:tblCellMar>
          <w:tblLook w:val="04A0"/>
        </w:tblPrEx>
        <w:trPr>
          <w:gridBefore w:val="1"/>
          <w:wBefore w:w="1456" w:type="dxa"/>
          <w:trHeight w:val="325"/>
        </w:trPr>
        <w:tc>
          <w:tcPr>
            <w:tcW w:w="1330" w:type="dxa"/>
            <w:vAlign w:val="center"/>
          </w:tcPr>
          <w:p w:rsidR="00A2533E" w:rsidRPr="00D049A9" w:rsidRDefault="00A2533E" w:rsidP="00C67879">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PREVISTA PARA O PERÍODO</w:t>
            </w:r>
          </w:p>
        </w:tc>
        <w:tc>
          <w:tcPr>
            <w:tcW w:w="2991" w:type="dxa"/>
            <w:gridSpan w:val="2"/>
            <w:vAlign w:val="center"/>
          </w:tcPr>
          <w:p w:rsidR="00A2533E" w:rsidRPr="00D049A9" w:rsidRDefault="00A2533E" w:rsidP="00C67879">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META ALCANÇADA NO PERÍODO</w:t>
            </w:r>
          </w:p>
        </w:tc>
        <w:tc>
          <w:tcPr>
            <w:tcW w:w="4649" w:type="dxa"/>
            <w:vAlign w:val="center"/>
          </w:tcPr>
          <w:p w:rsidR="00A2533E" w:rsidRPr="00D049A9" w:rsidRDefault="00A2533E" w:rsidP="00C67879">
            <w:pPr>
              <w:jc w:val="center"/>
              <w:rPr>
                <w:rFonts w:ascii="Bookman Old Style" w:hAnsi="Bookman Old Style" w:cs="Times New Roman"/>
                <w:b/>
                <w:color w:val="000000" w:themeColor="text1"/>
                <w:sz w:val="20"/>
                <w:szCs w:val="20"/>
              </w:rPr>
            </w:pPr>
            <w:r w:rsidRPr="00D049A9">
              <w:rPr>
                <w:rFonts w:ascii="Bookman Old Style" w:hAnsi="Bookman Old Style" w:cs="Times New Roman"/>
                <w:color w:val="000000" w:themeColor="text1"/>
                <w:sz w:val="20"/>
                <w:szCs w:val="20"/>
              </w:rPr>
              <w:t>FONTE DO INDICADOR</w:t>
            </w:r>
          </w:p>
        </w:tc>
      </w:tr>
      <w:tr w:rsidR="00A2533E" w:rsidRPr="00D049A9" w:rsidTr="00C67879">
        <w:trPr>
          <w:trHeight w:val="284"/>
        </w:trPr>
        <w:tc>
          <w:tcPr>
            <w:tcW w:w="1456" w:type="dxa"/>
            <w:vMerge w:val="restart"/>
            <w:tcBorders>
              <w:top w:val="nil"/>
              <w:left w:val="nil"/>
              <w:bottom w:val="nil"/>
            </w:tcBorders>
            <w:shd w:val="clear" w:color="auto" w:fill="auto"/>
            <w:vAlign w:val="center"/>
          </w:tcPr>
          <w:p w:rsidR="00A2533E" w:rsidRPr="00D049A9" w:rsidRDefault="00A2533E" w:rsidP="00C67879">
            <w:pPr>
              <w:jc w:val="center"/>
              <w:rPr>
                <w:rFonts w:ascii="Bookman Old Style" w:hAnsi="Bookman Old Style" w:cs="Times New Roman"/>
                <w:color w:val="000000" w:themeColor="text1"/>
                <w:sz w:val="20"/>
                <w:szCs w:val="20"/>
              </w:rPr>
            </w:pPr>
          </w:p>
        </w:tc>
        <w:tc>
          <w:tcPr>
            <w:tcW w:w="1330" w:type="dxa"/>
            <w:vMerge w:val="restart"/>
            <w:vAlign w:val="center"/>
          </w:tcPr>
          <w:p w:rsidR="00A2533E" w:rsidRPr="00D049A9" w:rsidRDefault="00A2533E" w:rsidP="00C67879">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100,00%</w:t>
            </w:r>
          </w:p>
        </w:tc>
        <w:tc>
          <w:tcPr>
            <w:tcW w:w="1292" w:type="dxa"/>
            <w:vAlign w:val="center"/>
          </w:tcPr>
          <w:p w:rsidR="00A2533E" w:rsidRPr="00D049A9" w:rsidRDefault="00A2533E" w:rsidP="00C67879">
            <w:pPr>
              <w:jc w:val="center"/>
              <w:rPr>
                <w:rFonts w:ascii="Bookman Old Style" w:hAnsi="Bookman Old Style" w:cs="Times New Roman"/>
                <w:color w:val="000000" w:themeColor="text1"/>
                <w:sz w:val="20"/>
                <w:szCs w:val="20"/>
              </w:rPr>
            </w:pPr>
            <w:r w:rsidRPr="00D049A9">
              <w:rPr>
                <w:rFonts w:ascii="Bookman Old Style" w:hAnsi="Bookman Old Style" w:cs="Times New Roman"/>
                <w:color w:val="000000" w:themeColor="text1"/>
                <w:sz w:val="20"/>
                <w:szCs w:val="20"/>
              </w:rPr>
              <w:t xml:space="preserve">DADO OFICIAL </w:t>
            </w:r>
            <w:r w:rsidRPr="00D049A9">
              <w:rPr>
                <w:rFonts w:ascii="Times New Roman" w:hAnsi="Times New Roman" w:cs="Times New Roman"/>
                <w:color w:val="000000" w:themeColor="text1"/>
                <w:sz w:val="20"/>
                <w:szCs w:val="20"/>
              </w:rPr>
              <w:t>⃰⃰</w:t>
            </w:r>
          </w:p>
        </w:tc>
        <w:tc>
          <w:tcPr>
            <w:tcW w:w="1699" w:type="dxa"/>
            <w:vAlign w:val="center"/>
          </w:tcPr>
          <w:p w:rsidR="00A2533E" w:rsidRPr="00D049A9" w:rsidRDefault="00A2533E" w:rsidP="00C67879">
            <w:pPr>
              <w:jc w:val="center"/>
              <w:rPr>
                <w:rFonts w:ascii="Bookman Old Style" w:hAnsi="Bookman Old Style" w:cs="Times New Roman"/>
                <w:b/>
                <w:color w:val="000000" w:themeColor="text1"/>
                <w:sz w:val="20"/>
                <w:szCs w:val="20"/>
              </w:rPr>
            </w:pPr>
          </w:p>
        </w:tc>
        <w:tc>
          <w:tcPr>
            <w:tcW w:w="4649" w:type="dxa"/>
            <w:vAlign w:val="center"/>
          </w:tcPr>
          <w:p w:rsidR="00A2533E" w:rsidRPr="00D049A9" w:rsidRDefault="00A2533E" w:rsidP="00C67879">
            <w:pPr>
              <w:jc w:val="both"/>
              <w:rPr>
                <w:rFonts w:ascii="Bookman Old Style" w:hAnsi="Bookman Old Style" w:cs="Times New Roman"/>
                <w:color w:val="000000" w:themeColor="text1"/>
                <w:sz w:val="20"/>
                <w:szCs w:val="20"/>
              </w:rPr>
            </w:pPr>
          </w:p>
        </w:tc>
      </w:tr>
      <w:tr w:rsidR="00A2533E" w:rsidRPr="00D049A9" w:rsidTr="00C67879">
        <w:trPr>
          <w:trHeight w:val="284"/>
        </w:trPr>
        <w:tc>
          <w:tcPr>
            <w:tcW w:w="1456" w:type="dxa"/>
            <w:vMerge/>
            <w:tcBorders>
              <w:left w:val="nil"/>
              <w:bottom w:val="nil"/>
            </w:tcBorders>
            <w:shd w:val="clear" w:color="auto" w:fill="auto"/>
            <w:vAlign w:val="center"/>
          </w:tcPr>
          <w:p w:rsidR="00A2533E" w:rsidRPr="00D049A9" w:rsidRDefault="00A2533E" w:rsidP="00C67879">
            <w:pPr>
              <w:jc w:val="center"/>
              <w:rPr>
                <w:rFonts w:ascii="Bookman Old Style" w:hAnsi="Bookman Old Style" w:cs="Times New Roman"/>
                <w:color w:val="000000" w:themeColor="text1"/>
                <w:sz w:val="20"/>
                <w:szCs w:val="20"/>
              </w:rPr>
            </w:pPr>
          </w:p>
        </w:tc>
        <w:tc>
          <w:tcPr>
            <w:tcW w:w="1330" w:type="dxa"/>
            <w:vMerge/>
            <w:vAlign w:val="center"/>
          </w:tcPr>
          <w:p w:rsidR="00A2533E" w:rsidRPr="00D049A9" w:rsidRDefault="00A2533E" w:rsidP="00C67879">
            <w:pPr>
              <w:jc w:val="center"/>
              <w:rPr>
                <w:rFonts w:ascii="Bookman Old Style" w:hAnsi="Bookman Old Style" w:cs="Times New Roman"/>
                <w:b/>
                <w:color w:val="000000" w:themeColor="text1"/>
                <w:sz w:val="20"/>
                <w:szCs w:val="20"/>
              </w:rPr>
            </w:pPr>
          </w:p>
        </w:tc>
        <w:tc>
          <w:tcPr>
            <w:tcW w:w="1292" w:type="dxa"/>
            <w:vAlign w:val="center"/>
          </w:tcPr>
          <w:p w:rsidR="00A2533E" w:rsidRPr="00D049A9" w:rsidRDefault="00A2533E" w:rsidP="00C67879">
            <w:pPr>
              <w:jc w:val="center"/>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DADO MUNICIPAL*</w:t>
            </w:r>
          </w:p>
        </w:tc>
        <w:tc>
          <w:tcPr>
            <w:tcW w:w="1699" w:type="dxa"/>
            <w:vAlign w:val="center"/>
          </w:tcPr>
          <w:p w:rsidR="00A2533E" w:rsidRPr="00D049A9" w:rsidRDefault="00A2533E" w:rsidP="00C67879">
            <w:pPr>
              <w:jc w:val="center"/>
              <w:rPr>
                <w:rFonts w:ascii="Bookman Old Style" w:hAnsi="Bookman Old Style" w:cs="Times New Roman"/>
                <w:b/>
                <w:color w:val="000000" w:themeColor="text1"/>
                <w:sz w:val="20"/>
                <w:szCs w:val="20"/>
              </w:rPr>
            </w:pPr>
            <w:r>
              <w:rPr>
                <w:rFonts w:ascii="Bookman Old Style" w:hAnsi="Bookman Old Style" w:cs="Times New Roman"/>
                <w:b/>
                <w:color w:val="000000" w:themeColor="text1"/>
                <w:sz w:val="20"/>
                <w:szCs w:val="20"/>
              </w:rPr>
              <w:t>100,00%</w:t>
            </w:r>
          </w:p>
        </w:tc>
        <w:tc>
          <w:tcPr>
            <w:tcW w:w="4649" w:type="dxa"/>
            <w:vAlign w:val="center"/>
          </w:tcPr>
          <w:p w:rsidR="00A2533E" w:rsidRPr="00D049A9" w:rsidRDefault="00A2533E" w:rsidP="00A2533E">
            <w:pPr>
              <w:jc w:val="both"/>
              <w:rPr>
                <w:rFonts w:ascii="Bookman Old Style" w:hAnsi="Bookman Old Style" w:cs="Times New Roman"/>
                <w:color w:val="000000" w:themeColor="text1"/>
                <w:sz w:val="20"/>
                <w:szCs w:val="20"/>
              </w:rPr>
            </w:pPr>
            <w:r>
              <w:rPr>
                <w:rFonts w:ascii="Bookman Old Style" w:hAnsi="Bookman Old Style" w:cs="Times New Roman"/>
                <w:color w:val="000000" w:themeColor="text1"/>
                <w:sz w:val="20"/>
                <w:szCs w:val="20"/>
              </w:rPr>
              <w:t>Fonte: Sistema Municipal de Educação.</w:t>
            </w:r>
          </w:p>
        </w:tc>
      </w:tr>
    </w:tbl>
    <w:p w:rsidR="00FF353F" w:rsidRDefault="00FF353F" w:rsidP="002E00DD">
      <w:pPr>
        <w:jc w:val="both"/>
        <w:rPr>
          <w:rFonts w:ascii="Bookman Old Style" w:hAnsi="Bookman Old Style" w:cs="Times New Roman"/>
          <w:color w:val="000000" w:themeColor="text1"/>
          <w:sz w:val="24"/>
          <w:szCs w:val="24"/>
        </w:rPr>
      </w:pPr>
    </w:p>
    <w:p w:rsidR="00490E4D" w:rsidRPr="00B3094D" w:rsidRDefault="00490E4D" w:rsidP="002E00DD">
      <w:pPr>
        <w:jc w:val="both"/>
        <w:rPr>
          <w:rFonts w:ascii="Bookman Old Style" w:hAnsi="Bookman Old Style" w:cs="Times New Roman"/>
          <w:color w:val="000000" w:themeColor="text1"/>
          <w:sz w:val="24"/>
          <w:szCs w:val="24"/>
        </w:rPr>
      </w:pPr>
    </w:p>
    <w:p w:rsidR="00A2533E" w:rsidRPr="00A2533E" w:rsidRDefault="00A2533E" w:rsidP="00A2533E">
      <w:pPr>
        <w:jc w:val="both"/>
        <w:rPr>
          <w:rFonts w:ascii="Bookman Old Style" w:hAnsi="Bookman Old Style" w:cs="Times New Roman"/>
          <w:b/>
          <w:color w:val="000000" w:themeColor="text1"/>
          <w:sz w:val="24"/>
          <w:szCs w:val="24"/>
        </w:rPr>
      </w:pPr>
      <w:r w:rsidRPr="00A2533E">
        <w:rPr>
          <w:rFonts w:ascii="Bookman Old Style" w:hAnsi="Bookman Old Style" w:cs="Times New Roman"/>
          <w:b/>
          <w:color w:val="000000" w:themeColor="text1"/>
          <w:sz w:val="24"/>
          <w:szCs w:val="24"/>
        </w:rPr>
        <w:lastRenderedPageBreak/>
        <w:t>Contextualização da Meta:</w:t>
      </w:r>
    </w:p>
    <w:p w:rsidR="00A2533E" w:rsidRPr="00A2533E" w:rsidRDefault="00A2533E" w:rsidP="00A2533E">
      <w:pPr>
        <w:ind w:firstLine="567"/>
        <w:jc w:val="both"/>
        <w:rPr>
          <w:rFonts w:ascii="Bookman Old Style" w:hAnsi="Bookman Old Style" w:cs="Times New Roman"/>
          <w:color w:val="000000" w:themeColor="text1"/>
          <w:sz w:val="24"/>
          <w:szCs w:val="24"/>
        </w:rPr>
      </w:pPr>
      <w:r w:rsidRPr="00A2533E">
        <w:rPr>
          <w:rFonts w:ascii="Bookman Old Style" w:hAnsi="Bookman Old Style" w:cs="Times New Roman"/>
          <w:color w:val="000000" w:themeColor="text1"/>
          <w:sz w:val="24"/>
          <w:szCs w:val="24"/>
        </w:rPr>
        <w:t>A meta de número 17 do Plano Municipal de Educação objeta valorizar os profissionais do magistério das redes públicas de educação básica da rede pública e o salário médio de não professores, com escolaridade equivalente. A valorização salarial dos professores é imprescindível para promover a qualificação da educação no âmbito do Município, equalizando os vencimentos médios dos docentes com as demais categorias de escolaridade equivalente. Esta meta é sumariamente importante, porque trás no seu bojo a recomendação de equiparação dos salários dos professores com demais profissionais que não atuam no magistério e tem mesmo grau de escolaridade. O investimento em educação também passa pela valorização profissional e equiparação salarial entre as classes de mesmo grau de instrução.</w:t>
      </w:r>
    </w:p>
    <w:p w:rsidR="00FF353F" w:rsidRPr="00B3094D" w:rsidRDefault="00A2533E" w:rsidP="00A2533E">
      <w:pPr>
        <w:ind w:firstLine="567"/>
        <w:jc w:val="both"/>
        <w:rPr>
          <w:rFonts w:ascii="Bookman Old Style" w:hAnsi="Bookman Old Style" w:cs="Times New Roman"/>
          <w:color w:val="000000" w:themeColor="text1"/>
          <w:sz w:val="24"/>
          <w:szCs w:val="24"/>
        </w:rPr>
      </w:pPr>
      <w:r w:rsidRPr="00A2533E">
        <w:rPr>
          <w:rFonts w:ascii="Bookman Old Style" w:hAnsi="Bookman Old Style" w:cs="Times New Roman"/>
          <w:color w:val="000000" w:themeColor="text1"/>
          <w:sz w:val="24"/>
          <w:szCs w:val="24"/>
        </w:rPr>
        <w:t xml:space="preserve">As estratégias previstas para a meta visam construir possibilidades para tornar viável a equiparação salarial dos professores com as demais categorias com escolaridade compatível. Promover a discussão por meio dos representantes do professores a cerca do acompanhamento da política salarial dos profissionais do magistério, por meio de uma política salarial de valorização. Acompanhar a evolução salarial via indicadores de pesquisa do IBGE, com vistas a garantir aos profissionais de educação minimamente o piso salarial nacional. </w:t>
      </w:r>
      <w:proofErr w:type="gramStart"/>
      <w:r w:rsidRPr="00A2533E">
        <w:rPr>
          <w:rFonts w:ascii="Bookman Old Style" w:hAnsi="Bookman Old Style" w:cs="Times New Roman"/>
          <w:color w:val="000000" w:themeColor="text1"/>
          <w:sz w:val="24"/>
          <w:szCs w:val="24"/>
        </w:rPr>
        <w:t>Implementar</w:t>
      </w:r>
      <w:proofErr w:type="gramEnd"/>
      <w:r w:rsidRPr="00A2533E">
        <w:rPr>
          <w:rFonts w:ascii="Bookman Old Style" w:hAnsi="Bookman Old Style" w:cs="Times New Roman"/>
          <w:color w:val="000000" w:themeColor="text1"/>
          <w:sz w:val="24"/>
          <w:szCs w:val="24"/>
        </w:rPr>
        <w:t xml:space="preserve"> nos Panos de Carreira do Magistério a implementação de gradual jornada de trabalho cumprida em um único estabelecimento de ensino.   </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A2533E" w:rsidRPr="00540B0B" w:rsidTr="00C67879">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A2533E" w:rsidRPr="00540B0B" w:rsidRDefault="00A2533E" w:rsidP="00C67879">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A2533E" w:rsidRPr="00540B0B" w:rsidRDefault="00A2533E"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A2533E" w:rsidRPr="00540B0B" w:rsidRDefault="00A2533E"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A2533E" w:rsidRPr="00540B0B" w:rsidRDefault="00A2533E"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A2533E" w:rsidRDefault="00A2533E" w:rsidP="00C67879">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A2533E" w:rsidRPr="00540B0B" w:rsidRDefault="00A2533E" w:rsidP="00C6787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t>17.1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Discutir permanentemente por meio de representantes dos profissionais em educação do Estado e do Município o acompanhamento da política do piso salarial nacional dos profissionais do magistério público da educação básica.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Realizado </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t>17.2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 xml:space="preserve">Garantir formas de valorização salarial que se comprometam em dar ganhos reais aos profissionais e </w:t>
            </w:r>
            <w:r w:rsidRPr="00A2533E">
              <w:rPr>
                <w:rFonts w:ascii="Calibri" w:eastAsia="Times New Roman" w:hAnsi="Calibri" w:cs="Calibri"/>
                <w:color w:val="000000"/>
                <w:lang w:eastAsia="pt-BR"/>
              </w:rPr>
              <w:lastRenderedPageBreak/>
              <w:t>resgatar os “déficits" ao longo dos anos.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lastRenderedPageBreak/>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Default="00A2533E" w:rsidP="00A2533E">
            <w:pPr>
              <w:jc w:val="center"/>
            </w:pPr>
            <w:r w:rsidRPr="00284BA3">
              <w:rPr>
                <w:rFonts w:ascii="Calibri" w:eastAsia="Times New Roman" w:hAnsi="Calibri" w:cs="Calibri"/>
                <w:color w:val="000000"/>
                <w:lang w:eastAsia="pt-BR"/>
              </w:rPr>
              <w:t>Realizado</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lastRenderedPageBreak/>
              <w:t>17.3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Acompanhar a evolução salarial por meio de indicadores obtidos a partir da pesquisa nacional por amostragem de domicílios periodicamente divulgados pelo Instituto Brasileiro de Geografia e Estatística (IBGE).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Default="00A2533E" w:rsidP="00A2533E">
            <w:pPr>
              <w:jc w:val="center"/>
            </w:pPr>
            <w:r w:rsidRPr="00284BA3">
              <w:rPr>
                <w:rFonts w:ascii="Calibri" w:eastAsia="Times New Roman" w:hAnsi="Calibri" w:cs="Calibri"/>
                <w:color w:val="000000"/>
                <w:lang w:eastAsia="pt-BR"/>
              </w:rPr>
              <w:t>Realizado</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t>17.4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Garantir aos profissionais da educação, no mínimo, o piso salarial nacional.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Default="00A2533E" w:rsidP="00A2533E">
            <w:pPr>
              <w:jc w:val="center"/>
            </w:pPr>
            <w:r w:rsidRPr="00284BA3">
              <w:rPr>
                <w:rFonts w:ascii="Calibri" w:eastAsia="Times New Roman" w:hAnsi="Calibri" w:cs="Calibri"/>
                <w:color w:val="000000"/>
                <w:lang w:eastAsia="pt-BR"/>
              </w:rPr>
              <w:t>Realizado</w:t>
            </w:r>
          </w:p>
        </w:tc>
      </w:tr>
      <w:tr w:rsidR="00A2533E" w:rsidRPr="00A2533E" w:rsidTr="00A2533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both"/>
              <w:rPr>
                <w:rFonts w:ascii="Calibri" w:eastAsia="Times New Roman" w:hAnsi="Calibri" w:cs="Calibri"/>
                <w:color w:val="000000"/>
                <w:lang w:eastAsia="pt-BR"/>
              </w:rPr>
            </w:pPr>
            <w:r w:rsidRPr="00A2533E">
              <w:rPr>
                <w:rFonts w:ascii="Calibri" w:eastAsia="Times New Roman" w:hAnsi="Calibri" w:cs="Calibri"/>
                <w:color w:val="000000"/>
                <w:lang w:eastAsia="pt-BR"/>
              </w:rPr>
              <w:t>17.5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A2533E" w:rsidRPr="00A2533E" w:rsidRDefault="00A2533E" w:rsidP="00A2533E">
            <w:pPr>
              <w:spacing w:after="0" w:line="240" w:lineRule="auto"/>
              <w:rPr>
                <w:rFonts w:ascii="Calibri" w:eastAsia="Times New Roman" w:hAnsi="Calibri" w:cs="Calibri"/>
                <w:color w:val="000000"/>
                <w:lang w:eastAsia="pt-BR"/>
              </w:rPr>
            </w:pPr>
            <w:proofErr w:type="gramStart"/>
            <w:r w:rsidRPr="00A2533E">
              <w:rPr>
                <w:rFonts w:ascii="Calibri" w:eastAsia="Times New Roman" w:hAnsi="Calibri" w:cs="Calibri"/>
                <w:color w:val="000000"/>
                <w:lang w:eastAsia="pt-BR"/>
              </w:rPr>
              <w:t>Implementar</w:t>
            </w:r>
            <w:proofErr w:type="gramEnd"/>
            <w:r w:rsidRPr="00A2533E">
              <w:rPr>
                <w:rFonts w:ascii="Calibri" w:eastAsia="Times New Roman" w:hAnsi="Calibri" w:cs="Calibri"/>
                <w:color w:val="000000"/>
                <w:lang w:eastAsia="pt-BR"/>
              </w:rPr>
              <w:t>, no âmbito do Estado e do Município, planos de carreira para o magistério, com implementação gradual da jornada de trabalho cumprida em um único estabelecimento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Anual até 2021</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rPr>
                <w:rFonts w:ascii="Calibri" w:eastAsia="Times New Roman" w:hAnsi="Calibri" w:cs="Calibri"/>
                <w:color w:val="000000"/>
                <w:lang w:eastAsia="pt-BR"/>
              </w:rPr>
            </w:pPr>
            <w:r w:rsidRPr="00A2533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A2533E" w:rsidRPr="00A2533E" w:rsidRDefault="00A2533E" w:rsidP="00A2533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FF353F" w:rsidRPr="00B3094D" w:rsidRDefault="00FF353F" w:rsidP="002E00DD">
      <w:pPr>
        <w:jc w:val="both"/>
        <w:rPr>
          <w:rFonts w:ascii="Bookman Old Style" w:hAnsi="Bookman Old Style" w:cs="Times New Roman"/>
          <w:color w:val="000000" w:themeColor="text1"/>
          <w:sz w:val="24"/>
          <w:szCs w:val="24"/>
        </w:rPr>
      </w:pPr>
    </w:p>
    <w:p w:rsidR="00FF353F" w:rsidRPr="00B3094D" w:rsidRDefault="00A2533E" w:rsidP="00A2533E">
      <w:pPr>
        <w:ind w:firstLine="567"/>
        <w:jc w:val="both"/>
        <w:rPr>
          <w:rFonts w:ascii="Bookman Old Style" w:hAnsi="Bookman Old Style" w:cs="Times New Roman"/>
          <w:color w:val="000000" w:themeColor="text1"/>
          <w:sz w:val="24"/>
          <w:szCs w:val="24"/>
        </w:rPr>
      </w:pPr>
      <w:r w:rsidRPr="00A2533E">
        <w:rPr>
          <w:rFonts w:ascii="Bookman Old Style" w:hAnsi="Bookman Old Style" w:cs="Times New Roman"/>
          <w:color w:val="000000" w:themeColor="text1"/>
          <w:sz w:val="24"/>
          <w:szCs w:val="24"/>
        </w:rPr>
        <w:t>O indicador 17 A, estabelece a razão entre o salário médio de professores da educação básica da rede pública (não federal) e o salário médio de não professores, com escolaridade equivalente. Os dados provenientes da Secretaria de Educação levaram em conta os ganhos salariais dos profissionais egressos no Serviço Público Municipal que não são do magistério e possuem escolaridade equivalente aos professores. Diante deste panorama no momento do monitoramento podemos perceber que os salários apresentam compatibilidade entre as diferentes categoriais profissionais, que possuem mesmo grau de escolaridade no âmbito da Prefeitura.</w:t>
      </w:r>
    </w:p>
    <w:p w:rsidR="00A2533E" w:rsidRPr="00A2533E" w:rsidRDefault="00A2533E" w:rsidP="00A2533E">
      <w:pPr>
        <w:jc w:val="both"/>
        <w:rPr>
          <w:rFonts w:ascii="Bookman Old Style" w:hAnsi="Bookman Old Style" w:cs="Times New Roman"/>
          <w:b/>
          <w:color w:val="000000" w:themeColor="text1"/>
          <w:sz w:val="24"/>
          <w:szCs w:val="24"/>
        </w:rPr>
      </w:pPr>
      <w:r w:rsidRPr="00A2533E">
        <w:rPr>
          <w:rFonts w:ascii="Bookman Old Style" w:hAnsi="Bookman Old Style" w:cs="Times New Roman"/>
          <w:b/>
          <w:color w:val="000000" w:themeColor="text1"/>
          <w:sz w:val="24"/>
          <w:szCs w:val="24"/>
        </w:rPr>
        <w:t>Conclusão a respeito da Meta:</w:t>
      </w:r>
    </w:p>
    <w:p w:rsidR="00A2533E" w:rsidRPr="00A2533E" w:rsidRDefault="00A2533E" w:rsidP="00A2533E">
      <w:pPr>
        <w:ind w:firstLine="567"/>
        <w:jc w:val="both"/>
        <w:rPr>
          <w:rFonts w:ascii="Bookman Old Style" w:hAnsi="Bookman Old Style" w:cs="Times New Roman"/>
          <w:color w:val="000000" w:themeColor="text1"/>
          <w:sz w:val="24"/>
          <w:szCs w:val="24"/>
        </w:rPr>
      </w:pPr>
      <w:r w:rsidRPr="00A2533E">
        <w:rPr>
          <w:rFonts w:ascii="Bookman Old Style" w:hAnsi="Bookman Old Style" w:cs="Times New Roman"/>
          <w:color w:val="000000" w:themeColor="text1"/>
          <w:sz w:val="24"/>
          <w:szCs w:val="24"/>
        </w:rPr>
        <w:t xml:space="preserve">A meta 17 do Plano Municipal de Educação estabelece um aspecto deveras muito importante no contexto da valorização do magistério. A garantia explícita e clara da equiparação salarial do professor com as demais categorias que não são professores e que em contrapartida têm escolaridade e formação equivalentes. Este aspecto objeta valorizar o professor e colocá-lo em igual importância pelo menos no ponto de vista de </w:t>
      </w:r>
      <w:r w:rsidRPr="00A2533E">
        <w:rPr>
          <w:rFonts w:ascii="Bookman Old Style" w:hAnsi="Bookman Old Style" w:cs="Times New Roman"/>
          <w:color w:val="000000" w:themeColor="text1"/>
          <w:sz w:val="24"/>
          <w:szCs w:val="24"/>
        </w:rPr>
        <w:lastRenderedPageBreak/>
        <w:t>ganhos financeiros, dos demais profissionais de igual ou semelhante grau de escolarização e formação.</w:t>
      </w:r>
    </w:p>
    <w:p w:rsidR="00490E4D" w:rsidRDefault="00A2533E" w:rsidP="00490E4D">
      <w:pPr>
        <w:pStyle w:val="PargrafodaLista"/>
        <w:numPr>
          <w:ilvl w:val="0"/>
          <w:numId w:val="22"/>
        </w:numPr>
        <w:jc w:val="both"/>
        <w:rPr>
          <w:rFonts w:ascii="Bookman Old Style" w:hAnsi="Bookman Old Style" w:cs="Times New Roman"/>
          <w:b/>
          <w:color w:val="000000" w:themeColor="text1"/>
          <w:sz w:val="24"/>
          <w:szCs w:val="24"/>
        </w:rPr>
      </w:pPr>
      <w:r w:rsidRPr="00A2533E">
        <w:rPr>
          <w:rFonts w:ascii="Bookman Old Style" w:hAnsi="Bookman Old Style" w:cs="Times New Roman"/>
          <w:color w:val="000000" w:themeColor="text1"/>
          <w:sz w:val="24"/>
          <w:szCs w:val="24"/>
        </w:rPr>
        <w:t xml:space="preserve"> </w:t>
      </w:r>
      <w:r w:rsidR="00490E4D" w:rsidRPr="00047456">
        <w:rPr>
          <w:rFonts w:ascii="Bookman Old Style" w:hAnsi="Bookman Old Style" w:cs="Times New Roman"/>
          <w:b/>
          <w:color w:val="000000" w:themeColor="text1"/>
          <w:sz w:val="24"/>
          <w:szCs w:val="24"/>
        </w:rPr>
        <w:t>Sugestão de Nova Redação da Meta:</w:t>
      </w:r>
    </w:p>
    <w:p w:rsidR="00490E4D" w:rsidRPr="00666FDE" w:rsidRDefault="00490E4D" w:rsidP="00490E4D">
      <w:pPr>
        <w:ind w:firstLine="567"/>
        <w:jc w:val="both"/>
        <w:rPr>
          <w:rFonts w:ascii="Bookman Old Style" w:hAnsi="Bookman Old Style" w:cs="Times New Roman"/>
          <w:i/>
          <w:color w:val="000000" w:themeColor="text1"/>
          <w:sz w:val="24"/>
          <w:szCs w:val="24"/>
        </w:rPr>
      </w:pPr>
      <w:r>
        <w:rPr>
          <w:rFonts w:ascii="Bookman Old Style" w:hAnsi="Bookman Old Style" w:cs="Times New Roman"/>
          <w:color w:val="000000" w:themeColor="text1"/>
          <w:sz w:val="24"/>
          <w:szCs w:val="24"/>
        </w:rPr>
        <w:t>Com relação à Meta nº. 17</w:t>
      </w:r>
      <w:r w:rsidRPr="00666FDE">
        <w:rPr>
          <w:rFonts w:ascii="Bookman Old Style" w:hAnsi="Bookman Old Style" w:cs="Times New Roman"/>
          <w:color w:val="000000" w:themeColor="text1"/>
          <w:sz w:val="24"/>
          <w:szCs w:val="24"/>
        </w:rPr>
        <w:t>, após análise, e considerando que a sua redação não está em concordância com o PNE, propõe-se a seguinte adequação a ser realizada na íntegra:</w:t>
      </w:r>
    </w:p>
    <w:p w:rsidR="00FF353F" w:rsidRPr="00490E4D" w:rsidRDefault="00490E4D" w:rsidP="002E00DD">
      <w:pPr>
        <w:jc w:val="both"/>
        <w:rPr>
          <w:rFonts w:ascii="Bookman Old Style" w:hAnsi="Bookman Old Style" w:cs="Times New Roman"/>
          <w:i/>
          <w:color w:val="000000" w:themeColor="text1"/>
          <w:sz w:val="24"/>
          <w:szCs w:val="24"/>
        </w:rPr>
      </w:pPr>
      <w:r w:rsidRPr="00490E4D">
        <w:rPr>
          <w:rFonts w:ascii="Bookman Old Style" w:hAnsi="Bookman Old Style" w:cs="Times New Roman"/>
          <w:i/>
          <w:color w:val="000000" w:themeColor="text1"/>
          <w:sz w:val="24"/>
          <w:szCs w:val="24"/>
        </w:rPr>
        <w:t xml:space="preserve">“Valorizar os (as) profissionais do magistério das redes públicas de educação básica de forma a equiparar seu rendimento médio ao dos (as) demais profissionais com escolaridade equivalente, </w:t>
      </w:r>
      <w:r w:rsidRPr="00490E4D">
        <w:rPr>
          <w:rFonts w:ascii="Bookman Old Style" w:hAnsi="Bookman Old Style" w:cs="Times New Roman"/>
          <w:i/>
          <w:color w:val="000000" w:themeColor="text1"/>
          <w:sz w:val="24"/>
          <w:szCs w:val="24"/>
          <w:highlight w:val="lightGray"/>
        </w:rPr>
        <w:t>até o final do sexto ano de vigência deste PNE.”</w:t>
      </w:r>
    </w:p>
    <w:p w:rsidR="00FC3746" w:rsidRPr="00D81FEF" w:rsidRDefault="00D81FEF" w:rsidP="00D81FEF">
      <w:pPr>
        <w:pStyle w:val="Ttulo1"/>
        <w:numPr>
          <w:ilvl w:val="0"/>
          <w:numId w:val="25"/>
        </w:numPr>
        <w:rPr>
          <w:rFonts w:ascii="Bookman Old Style" w:hAnsi="Bookman Old Style"/>
          <w:color w:val="auto"/>
          <w:sz w:val="24"/>
          <w:szCs w:val="24"/>
        </w:rPr>
      </w:pPr>
      <w:r w:rsidRPr="00D81FEF">
        <w:rPr>
          <w:rFonts w:ascii="Bookman Old Style" w:hAnsi="Bookman Old Style"/>
          <w:color w:val="auto"/>
        </w:rPr>
        <w:t xml:space="preserve"> </w:t>
      </w:r>
      <w:bookmarkStart w:id="21" w:name="_Toc497809487"/>
      <w:r w:rsidR="00FC3746" w:rsidRPr="00D81FEF">
        <w:rPr>
          <w:rFonts w:ascii="Bookman Old Style" w:hAnsi="Bookman Old Style"/>
          <w:color w:val="auto"/>
        </w:rPr>
        <w:t>Meta sobre o Plano de Carreira</w:t>
      </w:r>
      <w:r w:rsidR="00216EAD" w:rsidRPr="00D81FEF">
        <w:rPr>
          <w:rFonts w:ascii="Bookman Old Style" w:hAnsi="Bookman Old Style"/>
          <w:color w:val="auto"/>
        </w:rPr>
        <w:t xml:space="preserve"> Docente</w:t>
      </w:r>
      <w:bookmarkEnd w:id="21"/>
    </w:p>
    <w:p w:rsidR="00D81FEF" w:rsidRDefault="00D81FEF" w:rsidP="00787203">
      <w:pPr>
        <w:jc w:val="both"/>
        <w:rPr>
          <w:rFonts w:ascii="Bookman Old Style" w:hAnsi="Bookman Old Style" w:cs="Times New Roman"/>
          <w:b/>
          <w:color w:val="000000" w:themeColor="text1"/>
          <w:sz w:val="24"/>
          <w:szCs w:val="24"/>
        </w:rPr>
      </w:pPr>
    </w:p>
    <w:p w:rsidR="00F76E84" w:rsidRPr="00B3094D" w:rsidRDefault="00A158C9" w:rsidP="00787203">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787203">
        <w:rPr>
          <w:rFonts w:ascii="Bookman Old Style" w:hAnsi="Bookman Old Style" w:cs="Times New Roman"/>
          <w:b/>
          <w:color w:val="000000" w:themeColor="text1"/>
          <w:sz w:val="24"/>
          <w:szCs w:val="24"/>
        </w:rPr>
        <w:t xml:space="preserve">nº. 18: </w:t>
      </w:r>
      <w:r w:rsidR="00787203" w:rsidRPr="00787203">
        <w:rPr>
          <w:rFonts w:ascii="Bookman Old Style" w:hAnsi="Bookman Old Style" w:cs="Times New Roman"/>
          <w:b/>
          <w:color w:val="000000" w:themeColor="text1"/>
          <w:sz w:val="24"/>
          <w:szCs w:val="24"/>
        </w:rPr>
        <w:t>Assegurar, no prazo de dois anos, a existência de planos de carreira para os profissionais da educação básica e superior pública de todos os sistemas de ensino e, para o plano de carreira dos profissionais da educação pública, tomar com referência o piso salarial nacional profissional, definido em lei federal, nos termos do art. 206, VIII, da Constituição Federal.</w:t>
      </w:r>
    </w:p>
    <w:p w:rsidR="00FF353F" w:rsidRPr="00B3094D" w:rsidRDefault="00FF353F" w:rsidP="007D1A06">
      <w:pPr>
        <w:jc w:val="both"/>
        <w:rPr>
          <w:rFonts w:ascii="Bookman Old Style" w:hAnsi="Bookman Old Style" w:cs="Times New Roman"/>
          <w:color w:val="000000" w:themeColor="text1"/>
          <w:sz w:val="24"/>
          <w:szCs w:val="24"/>
        </w:rPr>
      </w:pPr>
    </w:p>
    <w:p w:rsidR="00FF353F" w:rsidRDefault="00787203" w:rsidP="00787203">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t xml:space="preserve">Funcionários de escolas capacitados com cursos técnicos e treinamentos destinados nas áreas de administração escolar, </w:t>
      </w:r>
      <w:proofErr w:type="spellStart"/>
      <w:r w:rsidRPr="00787203">
        <w:rPr>
          <w:rFonts w:ascii="Bookman Old Style" w:hAnsi="Bookman Old Style" w:cs="Times New Roman"/>
          <w:color w:val="000000" w:themeColor="text1"/>
          <w:sz w:val="24"/>
          <w:szCs w:val="24"/>
        </w:rPr>
        <w:t>multimeios</w:t>
      </w:r>
      <w:proofErr w:type="spellEnd"/>
      <w:r w:rsidRPr="00787203">
        <w:rPr>
          <w:rFonts w:ascii="Bookman Old Style" w:hAnsi="Bookman Old Style" w:cs="Times New Roman"/>
          <w:color w:val="000000" w:themeColor="text1"/>
          <w:sz w:val="24"/>
          <w:szCs w:val="24"/>
        </w:rPr>
        <w:t xml:space="preserve"> e manutenção da </w:t>
      </w:r>
      <w:proofErr w:type="spellStart"/>
      <w:r w:rsidRPr="00787203">
        <w:rPr>
          <w:rFonts w:ascii="Bookman Old Style" w:hAnsi="Bookman Old Style" w:cs="Times New Roman"/>
          <w:color w:val="000000" w:themeColor="text1"/>
          <w:sz w:val="24"/>
          <w:szCs w:val="24"/>
        </w:rPr>
        <w:t>infraestrutura</w:t>
      </w:r>
      <w:proofErr w:type="spellEnd"/>
      <w:r w:rsidRPr="00787203">
        <w:rPr>
          <w:rFonts w:ascii="Bookman Old Style" w:hAnsi="Bookman Old Style" w:cs="Times New Roman"/>
          <w:color w:val="000000" w:themeColor="text1"/>
          <w:sz w:val="24"/>
          <w:szCs w:val="24"/>
        </w:rPr>
        <w:t xml:space="preserve"> escolar, inclusive para alimentação escolar.</w:t>
      </w:r>
    </w:p>
    <w:p w:rsidR="00787203" w:rsidRDefault="00787203" w:rsidP="00787203">
      <w:pPr>
        <w:ind w:firstLine="567"/>
        <w:jc w:val="both"/>
        <w:rPr>
          <w:rFonts w:ascii="Bookman Old Style" w:hAnsi="Bookman Old Style" w:cs="Times New Roman"/>
          <w:color w:val="000000" w:themeColor="text1"/>
          <w:sz w:val="24"/>
          <w:szCs w:val="24"/>
        </w:rPr>
      </w:pPr>
    </w:p>
    <w:p w:rsidR="00787203" w:rsidRPr="00787203" w:rsidRDefault="00787203" w:rsidP="00787203">
      <w:pPr>
        <w:jc w:val="both"/>
        <w:rPr>
          <w:rFonts w:ascii="Bookman Old Style" w:hAnsi="Bookman Old Style" w:cs="Times New Roman"/>
          <w:b/>
          <w:color w:val="000000" w:themeColor="text1"/>
          <w:sz w:val="24"/>
          <w:szCs w:val="24"/>
        </w:rPr>
      </w:pPr>
      <w:r w:rsidRPr="00787203">
        <w:rPr>
          <w:rFonts w:ascii="Bookman Old Style" w:hAnsi="Bookman Old Style" w:cs="Times New Roman"/>
          <w:b/>
          <w:color w:val="000000" w:themeColor="text1"/>
          <w:sz w:val="24"/>
          <w:szCs w:val="24"/>
        </w:rPr>
        <w:t>Contextualização da Meta:</w:t>
      </w:r>
    </w:p>
    <w:p w:rsidR="00787203" w:rsidRPr="00787203" w:rsidRDefault="00787203" w:rsidP="00787203">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t>A meta de número 18 do Plano Municipal de Educação visa assegurar no período de dois (02) anos, a existência de planos de carreira para os profissionais da educação básica e superior pública do Sistema de Ensino, e para o plano de carreira destes, tomando por base a referência do piso salarial nacional profissional definido em lei federal.</w:t>
      </w:r>
    </w:p>
    <w:p w:rsidR="00787203" w:rsidRPr="00787203" w:rsidRDefault="00787203" w:rsidP="00787203">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lastRenderedPageBreak/>
        <w:t xml:space="preserve">As estratégias previstas para a meta visam garantir que dentro do Sistema de Ensino tenhamos os profissionais do magistério e os demais servidores, egressos por meio de concurso público, </w:t>
      </w:r>
      <w:proofErr w:type="gramStart"/>
      <w:r w:rsidRPr="00787203">
        <w:rPr>
          <w:rFonts w:ascii="Bookman Old Style" w:hAnsi="Bookman Old Style" w:cs="Times New Roman"/>
          <w:color w:val="000000" w:themeColor="text1"/>
          <w:sz w:val="24"/>
          <w:szCs w:val="24"/>
        </w:rPr>
        <w:t>fomentar</w:t>
      </w:r>
      <w:proofErr w:type="gramEnd"/>
      <w:r w:rsidRPr="00787203">
        <w:rPr>
          <w:rFonts w:ascii="Bookman Old Style" w:hAnsi="Bookman Old Style" w:cs="Times New Roman"/>
          <w:color w:val="000000" w:themeColor="text1"/>
          <w:sz w:val="24"/>
          <w:szCs w:val="24"/>
        </w:rPr>
        <w:t xml:space="preserve"> e estimular a formação continuada para os docentes da educação infantil. Criar mecanismos que possibilitem a avaliação permanente dos professores, bem como dos que se </w:t>
      </w:r>
      <w:proofErr w:type="gramStart"/>
      <w:r w:rsidRPr="00787203">
        <w:rPr>
          <w:rFonts w:ascii="Bookman Old Style" w:hAnsi="Bookman Old Style" w:cs="Times New Roman"/>
          <w:color w:val="000000" w:themeColor="text1"/>
          <w:sz w:val="24"/>
          <w:szCs w:val="24"/>
        </w:rPr>
        <w:t>encontram</w:t>
      </w:r>
      <w:proofErr w:type="gramEnd"/>
      <w:r w:rsidRPr="00787203">
        <w:rPr>
          <w:rFonts w:ascii="Bookman Old Style" w:hAnsi="Bookman Old Style" w:cs="Times New Roman"/>
          <w:color w:val="000000" w:themeColor="text1"/>
          <w:sz w:val="24"/>
          <w:szCs w:val="24"/>
        </w:rPr>
        <w:t xml:space="preserve"> em estágio probatório. Fomentar a oferta de cursos e capacitações destinados a formação dos funcionários das escolas na área de administração escolar e alimentação escolar. Criar e estimular a formação de comissões dos profissionais de educação para avaliação do Plano de Carreira.</w:t>
      </w:r>
    </w:p>
    <w:p w:rsidR="00787203" w:rsidRPr="00787203" w:rsidRDefault="00787203" w:rsidP="00787203">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t>Esta meta personifica-se como relevante para a educação no Município, pois visa também da atenção aos profissionais, demais servidores da escola. Objetivando qualificar o serviço prestado, tanto na administração escolar como na alimentação, partes vitais para o funcionamento do educandário.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3B491E" w:rsidRPr="00540B0B" w:rsidTr="00C67879">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3B491E" w:rsidRPr="00540B0B" w:rsidRDefault="003B491E" w:rsidP="00C67879">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3B491E" w:rsidRPr="00540B0B" w:rsidRDefault="003B491E"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3B491E" w:rsidRPr="00540B0B" w:rsidRDefault="003B491E"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3B491E" w:rsidRPr="00540B0B" w:rsidRDefault="003B491E"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3B491E" w:rsidRDefault="003B491E" w:rsidP="00C67879">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3B491E" w:rsidRPr="00540B0B" w:rsidRDefault="003B491E" w:rsidP="00C6787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t>18.1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Estruturar os sistemas de ensino buscando atingir, em seu quadro de profissionais do magistério, 90% (noventa por cento) de servidores nomeados em cargos de provimento efetivo em efetivo exercício na rede pública de educação básica.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t>18.2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 xml:space="preserve">Fomentar a formação inicial e continuada de profissionais do magistério para a educação infantil com </w:t>
            </w:r>
            <w:proofErr w:type="gramStart"/>
            <w:r w:rsidRPr="003B491E">
              <w:rPr>
                <w:rFonts w:ascii="Calibri" w:eastAsia="Times New Roman" w:hAnsi="Calibri" w:cs="Calibri"/>
                <w:color w:val="000000"/>
                <w:lang w:eastAsia="pt-BR"/>
              </w:rPr>
              <w:t>implementação</w:t>
            </w:r>
            <w:proofErr w:type="gramEnd"/>
            <w:r w:rsidRPr="003B491E">
              <w:rPr>
                <w:rFonts w:ascii="Calibri" w:eastAsia="Times New Roman" w:hAnsi="Calibri" w:cs="Calibri"/>
                <w:color w:val="000000"/>
                <w:lang w:eastAsia="pt-BR"/>
              </w:rPr>
              <w:t xml:space="preserve"> de concurso específico e equiparação salarial coerente com o nível e com o plano de carreira.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Default="003B491E" w:rsidP="003B491E">
            <w:pPr>
              <w:jc w:val="center"/>
            </w:pPr>
            <w:r w:rsidRPr="00636672">
              <w:rPr>
                <w:rFonts w:ascii="Calibri" w:eastAsia="Times New Roman" w:hAnsi="Calibri" w:cs="Calibri"/>
                <w:color w:val="000000"/>
                <w:lang w:eastAsia="pt-BR"/>
              </w:rPr>
              <w:t>Realizada</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t>18.3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Dar continuidade ao programa de acompanhamento do professor nomeado para o cargo de provimento efetivo, através de avaliação documentada, para a decisão pela efetivação do professor ao final do estágio probatório.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Default="003B491E" w:rsidP="003B491E">
            <w:pPr>
              <w:jc w:val="center"/>
            </w:pPr>
            <w:r w:rsidRPr="00636672">
              <w:rPr>
                <w:rFonts w:ascii="Calibri" w:eastAsia="Times New Roman" w:hAnsi="Calibri" w:cs="Calibri"/>
                <w:color w:val="000000"/>
                <w:lang w:eastAsia="pt-BR"/>
              </w:rPr>
              <w:t>Realizada</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lastRenderedPageBreak/>
              <w:t>18.4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 xml:space="preserve">Fomentar a oferta de cursos técnicos e treinamentos destinados à formação de funcionários de escola para as áreas de administração escolar, </w:t>
            </w:r>
            <w:proofErr w:type="spellStart"/>
            <w:r w:rsidRPr="003B491E">
              <w:rPr>
                <w:rFonts w:ascii="Calibri" w:eastAsia="Times New Roman" w:hAnsi="Calibri" w:cs="Calibri"/>
                <w:color w:val="000000"/>
                <w:lang w:eastAsia="pt-BR"/>
              </w:rPr>
              <w:t>multimeios</w:t>
            </w:r>
            <w:proofErr w:type="spellEnd"/>
            <w:r w:rsidRPr="003B491E">
              <w:rPr>
                <w:rFonts w:ascii="Calibri" w:eastAsia="Times New Roman" w:hAnsi="Calibri" w:cs="Calibri"/>
                <w:color w:val="000000"/>
                <w:lang w:eastAsia="pt-BR"/>
              </w:rPr>
              <w:t xml:space="preserve"> e manutenção da </w:t>
            </w:r>
            <w:proofErr w:type="spellStart"/>
            <w:r w:rsidRPr="003B491E">
              <w:rPr>
                <w:rFonts w:ascii="Calibri" w:eastAsia="Times New Roman" w:hAnsi="Calibri" w:cs="Calibri"/>
                <w:color w:val="000000"/>
                <w:lang w:eastAsia="pt-BR"/>
              </w:rPr>
              <w:t>infraestrutura</w:t>
            </w:r>
            <w:proofErr w:type="spellEnd"/>
            <w:r w:rsidRPr="003B491E">
              <w:rPr>
                <w:rFonts w:ascii="Calibri" w:eastAsia="Times New Roman" w:hAnsi="Calibri" w:cs="Calibri"/>
                <w:color w:val="000000"/>
                <w:lang w:eastAsia="pt-BR"/>
              </w:rPr>
              <w:t xml:space="preserve"> escolar, inclusive para alimentação escolar.</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Default="003B491E" w:rsidP="003B491E">
            <w:pPr>
              <w:jc w:val="center"/>
            </w:pPr>
            <w:r w:rsidRPr="00636672">
              <w:rPr>
                <w:rFonts w:ascii="Calibri" w:eastAsia="Times New Roman" w:hAnsi="Calibri" w:cs="Calibri"/>
                <w:color w:val="000000"/>
                <w:lang w:eastAsia="pt-BR"/>
              </w:rPr>
              <w:t>Realizada</w:t>
            </w:r>
          </w:p>
        </w:tc>
      </w:tr>
      <w:tr w:rsidR="003B491E" w:rsidRPr="003B491E" w:rsidTr="003B491E">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both"/>
              <w:rPr>
                <w:rFonts w:ascii="Calibri" w:eastAsia="Times New Roman" w:hAnsi="Calibri" w:cs="Calibri"/>
                <w:color w:val="000000"/>
                <w:lang w:eastAsia="pt-BR"/>
              </w:rPr>
            </w:pPr>
            <w:r w:rsidRPr="003B491E">
              <w:rPr>
                <w:rFonts w:ascii="Calibri" w:eastAsia="Times New Roman" w:hAnsi="Calibri" w:cs="Calibri"/>
                <w:color w:val="000000"/>
                <w:lang w:eastAsia="pt-BR"/>
              </w:rPr>
              <w:t>18.5</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 xml:space="preserve">Criar e estimular a existência de comissão permanente de profissionais da educação de todos os níveis de ensino da rede municipal, na reestruturação e </w:t>
            </w:r>
            <w:proofErr w:type="gramStart"/>
            <w:r w:rsidRPr="003B491E">
              <w:rPr>
                <w:rFonts w:ascii="Calibri" w:eastAsia="Times New Roman" w:hAnsi="Calibri" w:cs="Calibri"/>
                <w:color w:val="000000"/>
                <w:lang w:eastAsia="pt-BR"/>
              </w:rPr>
              <w:t>implementação</w:t>
            </w:r>
            <w:proofErr w:type="gramEnd"/>
            <w:r w:rsidRPr="003B491E">
              <w:rPr>
                <w:rFonts w:ascii="Calibri" w:eastAsia="Times New Roman" w:hAnsi="Calibri" w:cs="Calibri"/>
                <w:color w:val="000000"/>
                <w:lang w:eastAsia="pt-BR"/>
              </w:rPr>
              <w:t xml:space="preserve"> do plano de Carreira.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rPr>
                <w:rFonts w:ascii="Calibri" w:eastAsia="Times New Roman" w:hAnsi="Calibri" w:cs="Calibri"/>
                <w:color w:val="000000"/>
                <w:lang w:eastAsia="pt-BR"/>
              </w:rPr>
            </w:pPr>
            <w:r w:rsidRPr="003B491E">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3B491E" w:rsidRPr="003B491E" w:rsidRDefault="003B491E" w:rsidP="003B491E">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bl>
    <w:p w:rsidR="00787203" w:rsidRPr="00787203" w:rsidRDefault="00787203" w:rsidP="003B491E">
      <w:pPr>
        <w:jc w:val="both"/>
        <w:rPr>
          <w:rFonts w:ascii="Bookman Old Style" w:hAnsi="Bookman Old Style" w:cs="Times New Roman"/>
          <w:color w:val="000000" w:themeColor="text1"/>
          <w:sz w:val="24"/>
          <w:szCs w:val="24"/>
        </w:rPr>
      </w:pPr>
    </w:p>
    <w:p w:rsidR="00787203" w:rsidRPr="00787203" w:rsidRDefault="00787203" w:rsidP="00787203">
      <w:pPr>
        <w:jc w:val="both"/>
        <w:rPr>
          <w:rFonts w:ascii="Bookman Old Style" w:hAnsi="Bookman Old Style" w:cs="Times New Roman"/>
          <w:b/>
          <w:color w:val="000000" w:themeColor="text1"/>
          <w:sz w:val="24"/>
          <w:szCs w:val="24"/>
        </w:rPr>
      </w:pPr>
      <w:r w:rsidRPr="00787203">
        <w:rPr>
          <w:rFonts w:ascii="Bookman Old Style" w:hAnsi="Bookman Old Style" w:cs="Times New Roman"/>
          <w:b/>
          <w:color w:val="000000" w:themeColor="text1"/>
          <w:sz w:val="24"/>
          <w:szCs w:val="24"/>
        </w:rPr>
        <w:t>Sistematização e Análise dos Dados:</w:t>
      </w:r>
    </w:p>
    <w:p w:rsidR="00787203" w:rsidRPr="00787203" w:rsidRDefault="00787203" w:rsidP="00787203">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t xml:space="preserve">Os dados desta meta não podem ser mensurados claramente por meio de números percentuais que fidedignamente retratem a realidade. Desta forma examinamos as estratégias uma a uma estabelecendo os prazos, bem como se havia a necessidade de previsões orçamentárias. Com exceção à estratégia 18.4 que para a sua </w:t>
      </w:r>
      <w:proofErr w:type="gramStart"/>
      <w:r w:rsidRPr="00787203">
        <w:rPr>
          <w:rFonts w:ascii="Bookman Old Style" w:hAnsi="Bookman Old Style" w:cs="Times New Roman"/>
          <w:color w:val="000000" w:themeColor="text1"/>
          <w:sz w:val="24"/>
          <w:szCs w:val="24"/>
        </w:rPr>
        <w:t>implementação</w:t>
      </w:r>
      <w:proofErr w:type="gramEnd"/>
      <w:r w:rsidRPr="00787203">
        <w:rPr>
          <w:rFonts w:ascii="Bookman Old Style" w:hAnsi="Bookman Old Style" w:cs="Times New Roman"/>
          <w:color w:val="000000" w:themeColor="text1"/>
          <w:sz w:val="24"/>
          <w:szCs w:val="24"/>
        </w:rPr>
        <w:t xml:space="preserve"> e execução passa pela necessidade de investimentos financeiros, as demais não necessitam. Levantamos as informações pertinentes a esta meta junto a Secretaria Municipal de Educação, onde tivemos a seguinte retorno. Houve já no âmbito no Sistema Municipal de Ensino o fomento e execução de cursos técnicos e treinamentos destinados nas áreas de administração escolar, </w:t>
      </w:r>
      <w:proofErr w:type="spellStart"/>
      <w:r w:rsidRPr="00787203">
        <w:rPr>
          <w:rFonts w:ascii="Bookman Old Style" w:hAnsi="Bookman Old Style" w:cs="Times New Roman"/>
          <w:color w:val="000000" w:themeColor="text1"/>
          <w:sz w:val="24"/>
          <w:szCs w:val="24"/>
        </w:rPr>
        <w:t>multimeios</w:t>
      </w:r>
      <w:proofErr w:type="spellEnd"/>
      <w:r w:rsidRPr="00787203">
        <w:rPr>
          <w:rFonts w:ascii="Bookman Old Style" w:hAnsi="Bookman Old Style" w:cs="Times New Roman"/>
          <w:color w:val="000000" w:themeColor="text1"/>
          <w:sz w:val="24"/>
          <w:szCs w:val="24"/>
        </w:rPr>
        <w:t xml:space="preserve"> e manutenção da </w:t>
      </w:r>
      <w:proofErr w:type="spellStart"/>
      <w:r w:rsidRPr="00787203">
        <w:rPr>
          <w:rFonts w:ascii="Bookman Old Style" w:hAnsi="Bookman Old Style" w:cs="Times New Roman"/>
          <w:color w:val="000000" w:themeColor="text1"/>
          <w:sz w:val="24"/>
          <w:szCs w:val="24"/>
        </w:rPr>
        <w:t>infraestrutura</w:t>
      </w:r>
      <w:proofErr w:type="spellEnd"/>
      <w:r w:rsidRPr="00787203">
        <w:rPr>
          <w:rFonts w:ascii="Bookman Old Style" w:hAnsi="Bookman Old Style" w:cs="Times New Roman"/>
          <w:color w:val="000000" w:themeColor="text1"/>
          <w:sz w:val="24"/>
          <w:szCs w:val="24"/>
        </w:rPr>
        <w:t xml:space="preserve"> escolar, inclusive para alimentação escolar. Bem como a grande maioria dos ocupantes do cargo de professor, </w:t>
      </w:r>
      <w:proofErr w:type="gramStart"/>
      <w:r w:rsidRPr="00787203">
        <w:rPr>
          <w:rFonts w:ascii="Bookman Old Style" w:hAnsi="Bookman Old Style" w:cs="Times New Roman"/>
          <w:color w:val="000000" w:themeColor="text1"/>
          <w:sz w:val="24"/>
          <w:szCs w:val="24"/>
        </w:rPr>
        <w:t>serem</w:t>
      </w:r>
      <w:proofErr w:type="gramEnd"/>
      <w:r w:rsidRPr="00787203">
        <w:rPr>
          <w:rFonts w:ascii="Bookman Old Style" w:hAnsi="Bookman Old Style" w:cs="Times New Roman"/>
          <w:color w:val="000000" w:themeColor="text1"/>
          <w:sz w:val="24"/>
          <w:szCs w:val="24"/>
        </w:rPr>
        <w:t xml:space="preserve"> admitidos via concurso público, excetuando apenas as excepcionalidades que porventura ocorram e que o docente é contratado via seleção simplificada (contrato emergencial), até a realização de concurso público. Os demais profissionais que atuam no âmbito dos educandários foram na sua totalidade admitidos pelo concurso público. É pertinente também fomentar a criação de Comissão que envolva </w:t>
      </w:r>
      <w:proofErr w:type="gramStart"/>
      <w:r w:rsidRPr="00787203">
        <w:rPr>
          <w:rFonts w:ascii="Bookman Old Style" w:hAnsi="Bookman Old Style" w:cs="Times New Roman"/>
          <w:color w:val="000000" w:themeColor="text1"/>
          <w:sz w:val="24"/>
          <w:szCs w:val="24"/>
        </w:rPr>
        <w:t>os professores</w:t>
      </w:r>
      <w:proofErr w:type="gramEnd"/>
      <w:r w:rsidRPr="00787203">
        <w:rPr>
          <w:rFonts w:ascii="Bookman Old Style" w:hAnsi="Bookman Old Style" w:cs="Times New Roman"/>
          <w:color w:val="000000" w:themeColor="text1"/>
          <w:sz w:val="24"/>
          <w:szCs w:val="24"/>
        </w:rPr>
        <w:t>, visando avaliar o Plano de Carreira do Magistério Público Municipal.</w:t>
      </w:r>
    </w:p>
    <w:p w:rsidR="00787203" w:rsidRPr="00787203" w:rsidRDefault="00787203" w:rsidP="00787203">
      <w:pPr>
        <w:jc w:val="both"/>
        <w:rPr>
          <w:rFonts w:ascii="Bookman Old Style" w:hAnsi="Bookman Old Style" w:cs="Times New Roman"/>
          <w:b/>
          <w:color w:val="000000" w:themeColor="text1"/>
          <w:sz w:val="24"/>
          <w:szCs w:val="24"/>
        </w:rPr>
      </w:pPr>
      <w:r w:rsidRPr="00787203">
        <w:rPr>
          <w:rFonts w:ascii="Bookman Old Style" w:hAnsi="Bookman Old Style" w:cs="Times New Roman"/>
          <w:b/>
          <w:color w:val="000000" w:themeColor="text1"/>
          <w:sz w:val="24"/>
          <w:szCs w:val="24"/>
        </w:rPr>
        <w:t>Conclusão a respeito da Meta:</w:t>
      </w:r>
    </w:p>
    <w:p w:rsidR="00787203" w:rsidRPr="00787203" w:rsidRDefault="00787203" w:rsidP="00787203">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t xml:space="preserve">O investimento na qualidade da educação deve ser qualitativo e envolver todos os atores da escola. A formação continuada e técnica não </w:t>
      </w:r>
      <w:r w:rsidRPr="00787203">
        <w:rPr>
          <w:rFonts w:ascii="Bookman Old Style" w:hAnsi="Bookman Old Style" w:cs="Times New Roman"/>
          <w:color w:val="000000" w:themeColor="text1"/>
          <w:sz w:val="24"/>
          <w:szCs w:val="24"/>
        </w:rPr>
        <w:lastRenderedPageBreak/>
        <w:t>devem envolver apenas os professores, mas também ser estendida aos demais servidores do educandário, com vistas a capacitá-los de forma constante, ofertando cursos afins que possibilitarão o melhor e mais eficiente exercício da função.</w:t>
      </w:r>
    </w:p>
    <w:p w:rsidR="00787203" w:rsidRPr="00B3094D" w:rsidRDefault="00787203" w:rsidP="00787203">
      <w:pPr>
        <w:ind w:firstLine="567"/>
        <w:jc w:val="both"/>
        <w:rPr>
          <w:rFonts w:ascii="Bookman Old Style" w:hAnsi="Bookman Old Style" w:cs="Times New Roman"/>
          <w:color w:val="000000" w:themeColor="text1"/>
          <w:sz w:val="24"/>
          <w:szCs w:val="24"/>
        </w:rPr>
      </w:pPr>
      <w:r w:rsidRPr="00787203">
        <w:rPr>
          <w:rFonts w:ascii="Bookman Old Style" w:hAnsi="Bookman Old Style" w:cs="Times New Roman"/>
          <w:color w:val="000000" w:themeColor="text1"/>
          <w:sz w:val="24"/>
          <w:szCs w:val="24"/>
        </w:rPr>
        <w:t xml:space="preserve">A criação de comissão permanente com a participação dos professores do Sistema Municipal de Ensino, objetando a discussão, revisão e atualização do Plano de Carreira do Magistério, deverá ser </w:t>
      </w:r>
      <w:proofErr w:type="gramStart"/>
      <w:r w:rsidRPr="00787203">
        <w:rPr>
          <w:rFonts w:ascii="Bookman Old Style" w:hAnsi="Bookman Old Style" w:cs="Times New Roman"/>
          <w:color w:val="000000" w:themeColor="text1"/>
          <w:sz w:val="24"/>
          <w:szCs w:val="24"/>
        </w:rPr>
        <w:t>implementada</w:t>
      </w:r>
      <w:proofErr w:type="gramEnd"/>
      <w:r w:rsidRPr="00787203">
        <w:rPr>
          <w:rFonts w:ascii="Bookman Old Style" w:hAnsi="Bookman Old Style" w:cs="Times New Roman"/>
          <w:color w:val="000000" w:themeColor="text1"/>
          <w:sz w:val="24"/>
          <w:szCs w:val="24"/>
        </w:rPr>
        <w:t xml:space="preserve">. Atentando sempre para o previsto na legislação federal, garantindo os vencimentos financeiros mínimos do piso salarial Nacional. A realização de concurso público regular para o provimento e banco de espera, aos cargos de professor e servidores das escolas. A manutenção e a qualificação dos questionários e comissão </w:t>
      </w:r>
      <w:proofErr w:type="gramStart"/>
      <w:r w:rsidRPr="00787203">
        <w:rPr>
          <w:rFonts w:ascii="Bookman Old Style" w:hAnsi="Bookman Old Style" w:cs="Times New Roman"/>
          <w:color w:val="000000" w:themeColor="text1"/>
          <w:sz w:val="24"/>
          <w:szCs w:val="24"/>
        </w:rPr>
        <w:t>voltadas</w:t>
      </w:r>
      <w:proofErr w:type="gramEnd"/>
      <w:r w:rsidRPr="00787203">
        <w:rPr>
          <w:rFonts w:ascii="Bookman Old Style" w:hAnsi="Bookman Old Style" w:cs="Times New Roman"/>
          <w:color w:val="000000" w:themeColor="text1"/>
          <w:sz w:val="24"/>
          <w:szCs w:val="24"/>
        </w:rPr>
        <w:t xml:space="preserve"> á avaliação permanente dos docentes, bem como do estágio probatório.</w:t>
      </w:r>
    </w:p>
    <w:p w:rsidR="00FC3746" w:rsidRPr="00D81FEF" w:rsidRDefault="00FC3746" w:rsidP="00D81FEF">
      <w:pPr>
        <w:pStyle w:val="Ttulo1"/>
        <w:numPr>
          <w:ilvl w:val="0"/>
          <w:numId w:val="25"/>
        </w:numPr>
        <w:rPr>
          <w:rFonts w:ascii="Bookman Old Style" w:hAnsi="Bookman Old Style"/>
          <w:color w:val="auto"/>
          <w:sz w:val="24"/>
          <w:szCs w:val="24"/>
        </w:rPr>
      </w:pPr>
      <w:bookmarkStart w:id="22" w:name="_Toc497809488"/>
      <w:r w:rsidRPr="00D81FEF">
        <w:rPr>
          <w:rFonts w:ascii="Bookman Old Style" w:hAnsi="Bookman Old Style"/>
          <w:color w:val="auto"/>
        </w:rPr>
        <w:t xml:space="preserve">Meta sobre </w:t>
      </w:r>
      <w:r w:rsidR="00216EAD" w:rsidRPr="00D81FEF">
        <w:rPr>
          <w:rFonts w:ascii="Bookman Old Style" w:hAnsi="Bookman Old Style"/>
          <w:color w:val="auto"/>
        </w:rPr>
        <w:t xml:space="preserve">a </w:t>
      </w:r>
      <w:r w:rsidRPr="00D81FEF">
        <w:rPr>
          <w:rFonts w:ascii="Bookman Old Style" w:hAnsi="Bookman Old Style"/>
          <w:color w:val="auto"/>
        </w:rPr>
        <w:t>Gestão Democrática</w:t>
      </w:r>
      <w:bookmarkEnd w:id="22"/>
    </w:p>
    <w:p w:rsidR="00D81FEF" w:rsidRDefault="00D81FEF" w:rsidP="003B491E">
      <w:pPr>
        <w:jc w:val="both"/>
        <w:rPr>
          <w:rFonts w:ascii="Bookman Old Style" w:hAnsi="Bookman Old Style" w:cs="Times New Roman"/>
          <w:b/>
          <w:color w:val="000000" w:themeColor="text1"/>
          <w:sz w:val="24"/>
          <w:szCs w:val="24"/>
        </w:rPr>
      </w:pPr>
    </w:p>
    <w:p w:rsidR="008F1C3D" w:rsidRPr="00B3094D" w:rsidRDefault="00A158C9" w:rsidP="003B491E">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3B491E">
        <w:rPr>
          <w:rFonts w:ascii="Bookman Old Style" w:hAnsi="Bookman Old Style" w:cs="Times New Roman"/>
          <w:b/>
          <w:color w:val="000000" w:themeColor="text1"/>
          <w:sz w:val="24"/>
          <w:szCs w:val="24"/>
        </w:rPr>
        <w:t xml:space="preserve">nº 19: </w:t>
      </w:r>
      <w:r w:rsidR="003B491E" w:rsidRPr="003B491E">
        <w:rPr>
          <w:rFonts w:ascii="Bookman Old Style" w:hAnsi="Bookman Old Style" w:cs="Times New Roman"/>
          <w:b/>
          <w:color w:val="000000" w:themeColor="text1"/>
          <w:sz w:val="24"/>
          <w:szCs w:val="24"/>
        </w:rPr>
        <w:t>Assegurar condições, no prazo de dois anos, para a efetivação da gestão democrática da educação, associada a critérios técnicos de mérito e desempenho e à consulta pública à comunidade escolar, no âmbito das escolas públicas, prevendo recursos e apoio técnico da União para tanto.</w:t>
      </w:r>
    </w:p>
    <w:p w:rsidR="003B491E" w:rsidRPr="003B491E" w:rsidRDefault="003B491E" w:rsidP="003B491E">
      <w:pPr>
        <w:ind w:firstLine="567"/>
        <w:jc w:val="both"/>
        <w:rPr>
          <w:rFonts w:ascii="Bookman Old Style" w:hAnsi="Bookman Old Style" w:cs="Times New Roman"/>
          <w:color w:val="000000" w:themeColor="text1"/>
          <w:sz w:val="24"/>
          <w:szCs w:val="24"/>
        </w:rPr>
      </w:pPr>
      <w:r w:rsidRPr="003B491E">
        <w:rPr>
          <w:rFonts w:ascii="Bookman Old Style" w:hAnsi="Bookman Old Style" w:cs="Times New Roman"/>
          <w:color w:val="000000" w:themeColor="text1"/>
          <w:sz w:val="24"/>
          <w:szCs w:val="24"/>
        </w:rPr>
        <w:t xml:space="preserve">Condições favoráveis ao ensino, com </w:t>
      </w:r>
      <w:proofErr w:type="spellStart"/>
      <w:r w:rsidRPr="003B491E">
        <w:rPr>
          <w:rFonts w:ascii="Bookman Old Style" w:hAnsi="Bookman Old Style" w:cs="Times New Roman"/>
          <w:color w:val="000000" w:themeColor="text1"/>
          <w:sz w:val="24"/>
          <w:szCs w:val="24"/>
        </w:rPr>
        <w:t>infraestrutura</w:t>
      </w:r>
      <w:proofErr w:type="spellEnd"/>
      <w:r w:rsidRPr="003B491E">
        <w:rPr>
          <w:rFonts w:ascii="Bookman Old Style" w:hAnsi="Bookman Old Style" w:cs="Times New Roman"/>
          <w:color w:val="000000" w:themeColor="text1"/>
          <w:sz w:val="24"/>
          <w:szCs w:val="24"/>
        </w:rPr>
        <w:t xml:space="preserve"> adequada, bem como equipamentos necessários ao desenvolvimento das ações pedagógicas e administrativas por escola. Critérios mínimos definidos no plano de carreira dos profissionais do magistério público na escolha dos diretores e coordenadores pedagógicos para as escolas municipais, a ser definido. Implantação paulatina da Gestão Democrática nas Escolas do Sistema Municipal de Ensino.</w:t>
      </w:r>
    </w:p>
    <w:p w:rsidR="003B491E" w:rsidRPr="003B491E" w:rsidRDefault="003B491E" w:rsidP="003B491E">
      <w:pPr>
        <w:jc w:val="both"/>
        <w:rPr>
          <w:rFonts w:ascii="Bookman Old Style" w:hAnsi="Bookman Old Style" w:cs="Times New Roman"/>
          <w:b/>
          <w:color w:val="000000" w:themeColor="text1"/>
          <w:sz w:val="24"/>
          <w:szCs w:val="24"/>
        </w:rPr>
      </w:pPr>
      <w:r w:rsidRPr="003B491E">
        <w:rPr>
          <w:rFonts w:ascii="Bookman Old Style" w:hAnsi="Bookman Old Style" w:cs="Times New Roman"/>
          <w:b/>
          <w:color w:val="000000" w:themeColor="text1"/>
          <w:sz w:val="24"/>
          <w:szCs w:val="24"/>
        </w:rPr>
        <w:t>Contextualização da Meta:</w:t>
      </w:r>
    </w:p>
    <w:p w:rsidR="003B491E" w:rsidRPr="003B491E" w:rsidRDefault="003B491E" w:rsidP="003B491E">
      <w:pPr>
        <w:ind w:firstLine="567"/>
        <w:jc w:val="both"/>
        <w:rPr>
          <w:rFonts w:ascii="Bookman Old Style" w:hAnsi="Bookman Old Style" w:cs="Times New Roman"/>
          <w:color w:val="000000" w:themeColor="text1"/>
          <w:sz w:val="24"/>
          <w:szCs w:val="24"/>
        </w:rPr>
      </w:pPr>
      <w:r w:rsidRPr="003B491E">
        <w:rPr>
          <w:rFonts w:ascii="Bookman Old Style" w:hAnsi="Bookman Old Style" w:cs="Times New Roman"/>
          <w:color w:val="000000" w:themeColor="text1"/>
          <w:sz w:val="24"/>
          <w:szCs w:val="24"/>
        </w:rPr>
        <w:t xml:space="preserve">A meta de número 19 do Plano Municipal de Educação enseja assegurar condições, no prazo de dois anos, para a efetivação da gestão democrática da educação, associada a critérios técnicos de mérito e desempenho e à consulta pública à comunidade escolar, no âmbito das </w:t>
      </w:r>
      <w:r w:rsidRPr="003B491E">
        <w:rPr>
          <w:rFonts w:ascii="Bookman Old Style" w:hAnsi="Bookman Old Style" w:cs="Times New Roman"/>
          <w:color w:val="000000" w:themeColor="text1"/>
          <w:sz w:val="24"/>
          <w:szCs w:val="24"/>
        </w:rPr>
        <w:lastRenderedPageBreak/>
        <w:t>escolas públicas, prevendo recursos e apoio técnico da União para tanto. No âmbito do Município a gestão democrática nas escolas propiciará uma maior possibilidade para participação dos pais nas decisões do educandário, fortalecendo os Conselhos Escolares e o Círculo de Pais e Mestres, bem como norteando a escolha da Direção.</w:t>
      </w:r>
    </w:p>
    <w:p w:rsidR="003B491E" w:rsidRPr="003B491E" w:rsidRDefault="003B491E" w:rsidP="003B491E">
      <w:pPr>
        <w:ind w:firstLine="567"/>
        <w:jc w:val="both"/>
        <w:rPr>
          <w:rFonts w:ascii="Bookman Old Style" w:hAnsi="Bookman Old Style" w:cs="Times New Roman"/>
          <w:color w:val="000000" w:themeColor="text1"/>
          <w:sz w:val="24"/>
          <w:szCs w:val="24"/>
        </w:rPr>
      </w:pPr>
      <w:r w:rsidRPr="003B491E">
        <w:rPr>
          <w:rFonts w:ascii="Bookman Old Style" w:hAnsi="Bookman Old Style" w:cs="Times New Roman"/>
          <w:color w:val="000000" w:themeColor="text1"/>
          <w:sz w:val="24"/>
          <w:szCs w:val="24"/>
        </w:rPr>
        <w:t xml:space="preserve">As estratégias que estão previstas para esta meta, objetivam elencar a respeito do processo de escolha de diretores e coordenadores </w:t>
      </w:r>
      <w:proofErr w:type="gramStart"/>
      <w:r w:rsidRPr="003B491E">
        <w:rPr>
          <w:rFonts w:ascii="Bookman Old Style" w:hAnsi="Bookman Old Style" w:cs="Times New Roman"/>
          <w:color w:val="000000" w:themeColor="text1"/>
          <w:sz w:val="24"/>
          <w:szCs w:val="24"/>
        </w:rPr>
        <w:t>pedagógicos das escolas, contemplada no Plano de Carreira do Magistério</w:t>
      </w:r>
      <w:proofErr w:type="gramEnd"/>
      <w:r w:rsidRPr="003B491E">
        <w:rPr>
          <w:rFonts w:ascii="Bookman Old Style" w:hAnsi="Bookman Old Style" w:cs="Times New Roman"/>
          <w:color w:val="000000" w:themeColor="text1"/>
          <w:sz w:val="24"/>
          <w:szCs w:val="24"/>
        </w:rPr>
        <w:t>. Oportunizar a possibilidade de formação continuada para diretores de escolas, formações estas voltadas para as suas áreas de atuação. Destinar aos professores carga horária para o planejamento das aulas, conforme a lei federal. Assegurar que</w:t>
      </w:r>
      <w:proofErr w:type="gramStart"/>
      <w:r w:rsidRPr="003B491E">
        <w:rPr>
          <w:rFonts w:ascii="Bookman Old Style" w:hAnsi="Bookman Old Style" w:cs="Times New Roman"/>
          <w:color w:val="000000" w:themeColor="text1"/>
          <w:sz w:val="24"/>
          <w:szCs w:val="24"/>
        </w:rPr>
        <w:t xml:space="preserve">  </w:t>
      </w:r>
      <w:proofErr w:type="gramEnd"/>
      <w:r w:rsidRPr="003B491E">
        <w:rPr>
          <w:rFonts w:ascii="Bookman Old Style" w:hAnsi="Bookman Old Style" w:cs="Times New Roman"/>
          <w:color w:val="000000" w:themeColor="text1"/>
          <w:sz w:val="24"/>
          <w:szCs w:val="24"/>
        </w:rPr>
        <w:t xml:space="preserve">mantenedora ofereça condições favoráveis ao ensino, com </w:t>
      </w:r>
      <w:proofErr w:type="spellStart"/>
      <w:r w:rsidRPr="003B491E">
        <w:rPr>
          <w:rFonts w:ascii="Bookman Old Style" w:hAnsi="Bookman Old Style" w:cs="Times New Roman"/>
          <w:color w:val="000000" w:themeColor="text1"/>
          <w:sz w:val="24"/>
          <w:szCs w:val="24"/>
        </w:rPr>
        <w:t>infraestrutura</w:t>
      </w:r>
      <w:proofErr w:type="spellEnd"/>
      <w:r w:rsidRPr="003B491E">
        <w:rPr>
          <w:rFonts w:ascii="Bookman Old Style" w:hAnsi="Bookman Old Style" w:cs="Times New Roman"/>
          <w:color w:val="000000" w:themeColor="text1"/>
          <w:sz w:val="24"/>
          <w:szCs w:val="24"/>
        </w:rPr>
        <w:t xml:space="preserve"> adequada, equipamentos e demais itens inerentes e necessários o desenvolvimento pedagógico e administrativo.</w:t>
      </w:r>
    </w:p>
    <w:tbl>
      <w:tblPr>
        <w:tblW w:w="9513" w:type="dxa"/>
        <w:tblInd w:w="55" w:type="dxa"/>
        <w:shd w:val="clear" w:color="auto" w:fill="FFFFFF" w:themeFill="background1"/>
        <w:tblLayout w:type="fixed"/>
        <w:tblCellMar>
          <w:left w:w="70" w:type="dxa"/>
          <w:right w:w="70" w:type="dxa"/>
        </w:tblCellMar>
        <w:tblLook w:val="04A0"/>
      </w:tblPr>
      <w:tblGrid>
        <w:gridCol w:w="582"/>
        <w:gridCol w:w="3544"/>
        <w:gridCol w:w="1276"/>
        <w:gridCol w:w="1843"/>
        <w:gridCol w:w="2268"/>
      </w:tblGrid>
      <w:tr w:rsidR="002C0408" w:rsidRPr="00540B0B" w:rsidTr="00C67879">
        <w:trPr>
          <w:trHeight w:val="909"/>
        </w:trPr>
        <w:tc>
          <w:tcPr>
            <w:tcW w:w="582"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2C0408" w:rsidRPr="00540B0B" w:rsidRDefault="002C0408" w:rsidP="00C67879">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t>Estratégia</w:t>
            </w:r>
          </w:p>
        </w:tc>
        <w:tc>
          <w:tcPr>
            <w:tcW w:w="3544" w:type="dxa"/>
            <w:tcBorders>
              <w:top w:val="single" w:sz="4" w:space="0" w:color="auto"/>
              <w:left w:val="nil"/>
              <w:bottom w:val="nil"/>
              <w:right w:val="single" w:sz="4" w:space="0" w:color="auto"/>
            </w:tcBorders>
            <w:shd w:val="clear" w:color="auto" w:fill="EEECE1" w:themeFill="background2"/>
            <w:vAlign w:val="center"/>
            <w:hideMark/>
          </w:tcPr>
          <w:p w:rsidR="002C0408" w:rsidRPr="00540B0B" w:rsidRDefault="002C0408"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2C0408" w:rsidRPr="00540B0B" w:rsidRDefault="002C0408"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2C0408" w:rsidRPr="00540B0B" w:rsidRDefault="002C0408"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2C0408" w:rsidRDefault="002C0408" w:rsidP="00C67879">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2C0408" w:rsidRPr="00540B0B" w:rsidRDefault="002C0408" w:rsidP="00C6787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2C0408" w:rsidRPr="002C0408" w:rsidTr="002C040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both"/>
              <w:rPr>
                <w:rFonts w:ascii="Calibri" w:eastAsia="Times New Roman" w:hAnsi="Calibri" w:cs="Calibri"/>
                <w:color w:val="000000"/>
                <w:lang w:eastAsia="pt-BR"/>
              </w:rPr>
            </w:pPr>
            <w:r w:rsidRPr="002C0408">
              <w:rPr>
                <w:rFonts w:ascii="Calibri" w:eastAsia="Times New Roman" w:hAnsi="Calibri" w:cs="Calibri"/>
                <w:color w:val="000000"/>
                <w:lang w:eastAsia="pt-BR"/>
              </w:rPr>
              <w:t>19.1</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Assegurar critérios mínimos definidos no plano de carreira dos profissionais do magistério público na escolha dos diretores e coordenadores pedagógicos para as escolas municipais.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Até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2C0408" w:rsidRPr="002C0408" w:rsidTr="002C040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both"/>
              <w:rPr>
                <w:rFonts w:ascii="Calibri" w:eastAsia="Times New Roman" w:hAnsi="Calibri" w:cs="Calibri"/>
                <w:color w:val="000000"/>
                <w:lang w:eastAsia="pt-BR"/>
              </w:rPr>
            </w:pPr>
            <w:r w:rsidRPr="002C0408">
              <w:rPr>
                <w:rFonts w:ascii="Calibri" w:eastAsia="Times New Roman" w:hAnsi="Calibri" w:cs="Calibri"/>
                <w:color w:val="000000"/>
                <w:lang w:eastAsia="pt-BR"/>
              </w:rPr>
              <w:t>19.2</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 xml:space="preserve"> Oportunizar aperfeiçoamento, aos diretores e coordenadores pedagógicos das escolas da rede municipal.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Até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C0408" w:rsidRDefault="002C0408" w:rsidP="002C0408">
            <w:pPr>
              <w:jc w:val="center"/>
            </w:pPr>
            <w:r w:rsidRPr="0085290E">
              <w:rPr>
                <w:rFonts w:ascii="Calibri" w:eastAsia="Times New Roman" w:hAnsi="Calibri" w:cs="Calibri"/>
                <w:color w:val="000000"/>
                <w:lang w:eastAsia="pt-BR"/>
              </w:rPr>
              <w:t>Realizada</w:t>
            </w:r>
          </w:p>
        </w:tc>
      </w:tr>
      <w:tr w:rsidR="002C0408" w:rsidRPr="002C0408" w:rsidTr="002C040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both"/>
              <w:rPr>
                <w:rFonts w:ascii="Calibri" w:eastAsia="Times New Roman" w:hAnsi="Calibri" w:cs="Calibri"/>
                <w:color w:val="000000"/>
                <w:lang w:eastAsia="pt-BR"/>
              </w:rPr>
            </w:pPr>
            <w:r w:rsidRPr="002C0408">
              <w:rPr>
                <w:rFonts w:ascii="Calibri" w:eastAsia="Times New Roman" w:hAnsi="Calibri" w:cs="Calibri"/>
                <w:color w:val="000000"/>
                <w:lang w:eastAsia="pt-BR"/>
              </w:rPr>
              <w:t>19.3</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 xml:space="preserve"> Destinar, nas redes públicas, 1/3 da carga horária dos professores para planejamento das aulas, conforme Lei Federal nº 11.738/2008 e, a contar da data de sua aprovação.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Até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Não de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C0408" w:rsidRDefault="002C0408" w:rsidP="002C0408">
            <w:pPr>
              <w:jc w:val="center"/>
            </w:pPr>
            <w:r w:rsidRPr="0085290E">
              <w:rPr>
                <w:rFonts w:ascii="Calibri" w:eastAsia="Times New Roman" w:hAnsi="Calibri" w:cs="Calibri"/>
                <w:color w:val="000000"/>
                <w:lang w:eastAsia="pt-BR"/>
              </w:rPr>
              <w:t>Realizada</w:t>
            </w:r>
          </w:p>
        </w:tc>
      </w:tr>
      <w:tr w:rsidR="002C0408" w:rsidRPr="002C0408" w:rsidTr="002C0408">
        <w:trPr>
          <w:trHeight w:val="909"/>
        </w:trPr>
        <w:tc>
          <w:tcPr>
            <w:tcW w:w="582"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jc w:val="both"/>
              <w:rPr>
                <w:rFonts w:ascii="Calibri" w:eastAsia="Times New Roman" w:hAnsi="Calibri" w:cs="Calibri"/>
                <w:color w:val="000000"/>
                <w:lang w:eastAsia="pt-BR"/>
              </w:rPr>
            </w:pPr>
            <w:r w:rsidRPr="002C0408">
              <w:rPr>
                <w:rFonts w:ascii="Calibri" w:eastAsia="Times New Roman" w:hAnsi="Calibri" w:cs="Calibri"/>
                <w:color w:val="000000"/>
                <w:lang w:eastAsia="pt-BR"/>
              </w:rPr>
              <w:t>19.4</w:t>
            </w:r>
          </w:p>
        </w:tc>
        <w:tc>
          <w:tcPr>
            <w:tcW w:w="3544" w:type="dxa"/>
            <w:tcBorders>
              <w:top w:val="single" w:sz="4" w:space="0" w:color="auto"/>
              <w:left w:val="nil"/>
              <w:bottom w:val="nil"/>
              <w:right w:val="single" w:sz="4" w:space="0" w:color="auto"/>
            </w:tcBorders>
            <w:shd w:val="clear" w:color="auto" w:fill="FFFFFF" w:themeFill="background1"/>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 xml:space="preserve">Assegurar e fazer com que a mantenedora ofereça condições favoráveis ao ensino, com </w:t>
            </w:r>
            <w:proofErr w:type="spellStart"/>
            <w:r w:rsidRPr="002C0408">
              <w:rPr>
                <w:rFonts w:ascii="Calibri" w:eastAsia="Times New Roman" w:hAnsi="Calibri" w:cs="Calibri"/>
                <w:color w:val="000000"/>
                <w:lang w:eastAsia="pt-BR"/>
              </w:rPr>
              <w:t>infraestrutura</w:t>
            </w:r>
            <w:proofErr w:type="spellEnd"/>
            <w:r w:rsidRPr="002C0408">
              <w:rPr>
                <w:rFonts w:ascii="Calibri" w:eastAsia="Times New Roman" w:hAnsi="Calibri" w:cs="Calibri"/>
                <w:color w:val="000000"/>
                <w:lang w:eastAsia="pt-BR"/>
              </w:rPr>
              <w:t xml:space="preserve"> adequada, bem como </w:t>
            </w:r>
            <w:r w:rsidRPr="002C0408">
              <w:rPr>
                <w:rFonts w:ascii="Calibri" w:eastAsia="Times New Roman" w:hAnsi="Calibri" w:cs="Calibri"/>
                <w:color w:val="000000"/>
                <w:lang w:eastAsia="pt-BR"/>
              </w:rPr>
              <w:lastRenderedPageBreak/>
              <w:t>equipamentos necessários ao desenvolvimento das ações pedagógicas e administrativas.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lastRenderedPageBreak/>
              <w:t>Até 2016</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2C0408" w:rsidRPr="002C0408" w:rsidRDefault="002C0408" w:rsidP="002C0408">
            <w:pPr>
              <w:spacing w:after="0" w:line="240" w:lineRule="auto"/>
              <w:rPr>
                <w:rFonts w:ascii="Calibri" w:eastAsia="Times New Roman" w:hAnsi="Calibri" w:cs="Calibri"/>
                <w:color w:val="000000"/>
                <w:lang w:eastAsia="pt-BR"/>
              </w:rPr>
            </w:pPr>
            <w:r w:rsidRPr="002C0408">
              <w:rPr>
                <w:rFonts w:ascii="Calibri" w:eastAsia="Times New Roman" w:hAnsi="Calibri" w:cs="Calibri"/>
                <w:color w:val="000000"/>
                <w:lang w:eastAsia="pt-BR"/>
              </w:rPr>
              <w:t xml:space="preserve">Plano Plurianual: 2014/2017 - Lei Orçamentária Anual - 2017 e Lei </w:t>
            </w:r>
            <w:r w:rsidRPr="002C0408">
              <w:rPr>
                <w:rFonts w:ascii="Calibri" w:eastAsia="Times New Roman" w:hAnsi="Calibri" w:cs="Calibri"/>
                <w:color w:val="000000"/>
                <w:lang w:eastAsia="pt-BR"/>
              </w:rPr>
              <w:lastRenderedPageBreak/>
              <w:t>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2C0408" w:rsidRDefault="002C0408" w:rsidP="002C0408">
            <w:pPr>
              <w:jc w:val="center"/>
            </w:pPr>
            <w:r w:rsidRPr="0085290E">
              <w:rPr>
                <w:rFonts w:ascii="Calibri" w:eastAsia="Times New Roman" w:hAnsi="Calibri" w:cs="Calibri"/>
                <w:color w:val="000000"/>
                <w:lang w:eastAsia="pt-BR"/>
              </w:rPr>
              <w:lastRenderedPageBreak/>
              <w:t>Realizada</w:t>
            </w:r>
          </w:p>
        </w:tc>
      </w:tr>
    </w:tbl>
    <w:p w:rsidR="003B491E" w:rsidRPr="003B491E" w:rsidRDefault="003B491E" w:rsidP="002C0408">
      <w:pPr>
        <w:jc w:val="both"/>
        <w:rPr>
          <w:rFonts w:ascii="Bookman Old Style" w:hAnsi="Bookman Old Style" w:cs="Times New Roman"/>
          <w:color w:val="000000" w:themeColor="text1"/>
          <w:sz w:val="24"/>
          <w:szCs w:val="24"/>
        </w:rPr>
      </w:pPr>
    </w:p>
    <w:p w:rsidR="003B491E" w:rsidRPr="003B491E" w:rsidRDefault="003B491E" w:rsidP="003B491E">
      <w:pPr>
        <w:jc w:val="both"/>
        <w:rPr>
          <w:rFonts w:ascii="Bookman Old Style" w:hAnsi="Bookman Old Style" w:cs="Times New Roman"/>
          <w:b/>
          <w:color w:val="000000" w:themeColor="text1"/>
          <w:sz w:val="24"/>
          <w:szCs w:val="24"/>
        </w:rPr>
      </w:pPr>
      <w:r w:rsidRPr="003B491E">
        <w:rPr>
          <w:rFonts w:ascii="Bookman Old Style" w:hAnsi="Bookman Old Style" w:cs="Times New Roman"/>
          <w:b/>
          <w:color w:val="000000" w:themeColor="text1"/>
          <w:sz w:val="24"/>
          <w:szCs w:val="24"/>
        </w:rPr>
        <w:t>Sistematização e Análise dos Dados:</w:t>
      </w:r>
    </w:p>
    <w:p w:rsidR="003B491E" w:rsidRPr="003B491E" w:rsidRDefault="003B491E" w:rsidP="003B491E">
      <w:pPr>
        <w:ind w:firstLine="567"/>
        <w:jc w:val="both"/>
        <w:rPr>
          <w:rFonts w:ascii="Bookman Old Style" w:hAnsi="Bookman Old Style" w:cs="Times New Roman"/>
          <w:color w:val="000000" w:themeColor="text1"/>
          <w:sz w:val="24"/>
          <w:szCs w:val="24"/>
        </w:rPr>
      </w:pPr>
      <w:r w:rsidRPr="003B491E">
        <w:rPr>
          <w:rFonts w:ascii="Bookman Old Style" w:hAnsi="Bookman Old Style" w:cs="Times New Roman"/>
          <w:color w:val="000000" w:themeColor="text1"/>
          <w:sz w:val="24"/>
          <w:szCs w:val="24"/>
        </w:rPr>
        <w:t xml:space="preserve">Os dados para esta meta não podem ser mensurados friamente por meio de números percentuais. </w:t>
      </w:r>
      <w:proofErr w:type="gramStart"/>
      <w:r w:rsidRPr="003B491E">
        <w:rPr>
          <w:rFonts w:ascii="Bookman Old Style" w:hAnsi="Bookman Old Style" w:cs="Times New Roman"/>
          <w:color w:val="000000" w:themeColor="text1"/>
          <w:sz w:val="24"/>
          <w:szCs w:val="24"/>
        </w:rPr>
        <w:t>O monitoramento desta meta no momento da elaboração do relatório basearam-se</w:t>
      </w:r>
      <w:proofErr w:type="gramEnd"/>
      <w:r w:rsidRPr="003B491E">
        <w:rPr>
          <w:rFonts w:ascii="Bookman Old Style" w:hAnsi="Bookman Old Style" w:cs="Times New Roman"/>
          <w:color w:val="000000" w:themeColor="text1"/>
          <w:sz w:val="24"/>
          <w:szCs w:val="24"/>
        </w:rPr>
        <w:t xml:space="preserve"> nas informações levantadas junto à Secretaria de Educação. Conforme as colocações efetuadas a respeito que seguem: “Condições favoráveis ao ensino, com </w:t>
      </w:r>
      <w:proofErr w:type="spellStart"/>
      <w:r w:rsidRPr="003B491E">
        <w:rPr>
          <w:rFonts w:ascii="Bookman Old Style" w:hAnsi="Bookman Old Style" w:cs="Times New Roman"/>
          <w:color w:val="000000" w:themeColor="text1"/>
          <w:sz w:val="24"/>
          <w:szCs w:val="24"/>
        </w:rPr>
        <w:t>infraestrutura</w:t>
      </w:r>
      <w:proofErr w:type="spellEnd"/>
      <w:r w:rsidRPr="003B491E">
        <w:rPr>
          <w:rFonts w:ascii="Bookman Old Style" w:hAnsi="Bookman Old Style" w:cs="Times New Roman"/>
          <w:color w:val="000000" w:themeColor="text1"/>
          <w:sz w:val="24"/>
          <w:szCs w:val="24"/>
        </w:rPr>
        <w:t xml:space="preserve"> adequada, bem como equipamentos necessários ao desenvolvimento das ações pedagógicas e administrativas por escola. Critérios mínimos definidos no plano de carreira dos profissionais do magistério público na escolha dos diretores e coordenadores pedagógicos para as escolas municipais, a ser definido. Implantação paulatina da Gestão Democrática nas Escolas do Sistema Municipal de Ensino.”  </w:t>
      </w:r>
    </w:p>
    <w:p w:rsidR="003B491E" w:rsidRDefault="003B491E" w:rsidP="003B491E">
      <w:pPr>
        <w:ind w:firstLine="567"/>
        <w:jc w:val="both"/>
        <w:rPr>
          <w:rFonts w:ascii="Bookman Old Style" w:hAnsi="Bookman Old Style" w:cs="Times New Roman"/>
          <w:color w:val="000000" w:themeColor="text1"/>
          <w:sz w:val="24"/>
          <w:szCs w:val="24"/>
        </w:rPr>
      </w:pPr>
      <w:r w:rsidRPr="003B491E">
        <w:rPr>
          <w:rFonts w:ascii="Bookman Old Style" w:hAnsi="Bookman Old Style" w:cs="Times New Roman"/>
          <w:color w:val="000000" w:themeColor="text1"/>
          <w:sz w:val="24"/>
          <w:szCs w:val="24"/>
        </w:rPr>
        <w:t>Estas colocações sintetizam o diagnóstico levantado. A Gestão Democrática deverá ser implantada e fortalecida no âmbito das escolas, com vistas a garantir a participação da Comunidade Escolar nos processos decisórios dos estabelecimentos de ensino.</w:t>
      </w:r>
    </w:p>
    <w:p w:rsidR="002C0408" w:rsidRPr="003B491E" w:rsidRDefault="002C0408" w:rsidP="003B491E">
      <w:pPr>
        <w:ind w:firstLine="567"/>
        <w:jc w:val="both"/>
        <w:rPr>
          <w:rFonts w:ascii="Bookman Old Style" w:hAnsi="Bookman Old Style" w:cs="Times New Roman"/>
          <w:color w:val="000000" w:themeColor="text1"/>
          <w:sz w:val="24"/>
          <w:szCs w:val="24"/>
        </w:rPr>
      </w:pPr>
    </w:p>
    <w:p w:rsidR="003B491E" w:rsidRPr="003B491E" w:rsidRDefault="003B491E" w:rsidP="003B491E">
      <w:pPr>
        <w:jc w:val="both"/>
        <w:rPr>
          <w:rFonts w:ascii="Bookman Old Style" w:hAnsi="Bookman Old Style" w:cs="Times New Roman"/>
          <w:b/>
          <w:color w:val="000000" w:themeColor="text1"/>
          <w:sz w:val="24"/>
          <w:szCs w:val="24"/>
        </w:rPr>
      </w:pPr>
      <w:r w:rsidRPr="003B491E">
        <w:rPr>
          <w:rFonts w:ascii="Bookman Old Style" w:hAnsi="Bookman Old Style" w:cs="Times New Roman"/>
          <w:b/>
          <w:color w:val="000000" w:themeColor="text1"/>
          <w:sz w:val="24"/>
          <w:szCs w:val="24"/>
        </w:rPr>
        <w:t>Conclusão a respeito da Meta:</w:t>
      </w:r>
    </w:p>
    <w:p w:rsidR="003B491E" w:rsidRPr="003B491E" w:rsidRDefault="003B491E" w:rsidP="003B491E">
      <w:pPr>
        <w:ind w:firstLine="567"/>
        <w:jc w:val="both"/>
        <w:rPr>
          <w:rFonts w:ascii="Bookman Old Style" w:hAnsi="Bookman Old Style" w:cs="Times New Roman"/>
          <w:color w:val="000000" w:themeColor="text1"/>
          <w:sz w:val="24"/>
          <w:szCs w:val="24"/>
        </w:rPr>
      </w:pPr>
      <w:r w:rsidRPr="003B491E">
        <w:rPr>
          <w:rFonts w:ascii="Bookman Old Style" w:hAnsi="Bookman Old Style" w:cs="Times New Roman"/>
          <w:color w:val="000000" w:themeColor="text1"/>
          <w:sz w:val="24"/>
          <w:szCs w:val="24"/>
        </w:rPr>
        <w:t xml:space="preserve">A Gestão Democrática é um importante instrumental para garantir a participação de toda a Comunidade Escolar nos processos decisórios das Escolas vinculadas ao Sistema Municipal de Educação. Fomentando e instigando aos pais dos alunos, a participarem dos assuntos inerentes ao educandário, objetivando sempre </w:t>
      </w:r>
      <w:proofErr w:type="spellStart"/>
      <w:r w:rsidRPr="003B491E">
        <w:rPr>
          <w:rFonts w:ascii="Bookman Old Style" w:hAnsi="Bookman Old Style" w:cs="Times New Roman"/>
          <w:color w:val="000000" w:themeColor="text1"/>
          <w:sz w:val="24"/>
          <w:szCs w:val="24"/>
        </w:rPr>
        <w:t>exponenciar</w:t>
      </w:r>
      <w:proofErr w:type="spellEnd"/>
      <w:r w:rsidRPr="003B491E">
        <w:rPr>
          <w:rFonts w:ascii="Bookman Old Style" w:hAnsi="Bookman Old Style" w:cs="Times New Roman"/>
          <w:color w:val="000000" w:themeColor="text1"/>
          <w:sz w:val="24"/>
          <w:szCs w:val="24"/>
        </w:rPr>
        <w:t xml:space="preserve"> a qualificação da educação ofertada, tendo uma gestão compartilhada e solidária. Há indubitavelmente de garantir no plano de Carreira do Magistério de forma clarificada o processo de escolha da Direção e Coordenação Pedagógica das escolas, usando como instrumental a comissão com a participação de professores do Sistema Municipal de Ensino. </w:t>
      </w:r>
    </w:p>
    <w:p w:rsidR="00A02FF5" w:rsidRPr="00B3094D" w:rsidRDefault="003B491E" w:rsidP="003B491E">
      <w:pPr>
        <w:ind w:firstLine="567"/>
        <w:jc w:val="both"/>
        <w:rPr>
          <w:rFonts w:ascii="Bookman Old Style" w:hAnsi="Bookman Old Style" w:cs="Times New Roman"/>
          <w:color w:val="000000" w:themeColor="text1"/>
          <w:sz w:val="24"/>
          <w:szCs w:val="24"/>
        </w:rPr>
      </w:pPr>
      <w:r w:rsidRPr="003B491E">
        <w:rPr>
          <w:rFonts w:ascii="Bookman Old Style" w:hAnsi="Bookman Old Style" w:cs="Times New Roman"/>
          <w:color w:val="000000" w:themeColor="text1"/>
          <w:sz w:val="24"/>
          <w:szCs w:val="24"/>
        </w:rPr>
        <w:lastRenderedPageBreak/>
        <w:t xml:space="preserve">No concernente as questões </w:t>
      </w:r>
      <w:proofErr w:type="spellStart"/>
      <w:r w:rsidRPr="003B491E">
        <w:rPr>
          <w:rFonts w:ascii="Bookman Old Style" w:hAnsi="Bookman Old Style" w:cs="Times New Roman"/>
          <w:color w:val="000000" w:themeColor="text1"/>
          <w:sz w:val="24"/>
          <w:szCs w:val="24"/>
        </w:rPr>
        <w:t>infraestruturais</w:t>
      </w:r>
      <w:proofErr w:type="spellEnd"/>
      <w:r w:rsidRPr="003B491E">
        <w:rPr>
          <w:rFonts w:ascii="Bookman Old Style" w:hAnsi="Bookman Old Style" w:cs="Times New Roman"/>
          <w:color w:val="000000" w:themeColor="text1"/>
          <w:sz w:val="24"/>
          <w:szCs w:val="24"/>
        </w:rPr>
        <w:t xml:space="preserve"> dos estabelecimentos de ensino, temos os seguintes aspectos a serem considerados. Com relação ao Ensino Fundamental, o Município dispõe de um estabelecimento de ensino construído recentemente, obedecendo aos </w:t>
      </w:r>
      <w:proofErr w:type="gramStart"/>
      <w:r w:rsidRPr="003B491E">
        <w:rPr>
          <w:rFonts w:ascii="Bookman Old Style" w:hAnsi="Bookman Old Style" w:cs="Times New Roman"/>
          <w:color w:val="000000" w:themeColor="text1"/>
          <w:sz w:val="24"/>
          <w:szCs w:val="24"/>
        </w:rPr>
        <w:t>padrões preconizado pelo FNDE, e devidamente credenciado pelo Conselho Municipal de Educação</w:t>
      </w:r>
      <w:proofErr w:type="gramEnd"/>
      <w:r w:rsidRPr="003B491E">
        <w:rPr>
          <w:rFonts w:ascii="Bookman Old Style" w:hAnsi="Bookman Old Style" w:cs="Times New Roman"/>
          <w:color w:val="000000" w:themeColor="text1"/>
          <w:sz w:val="24"/>
          <w:szCs w:val="24"/>
        </w:rPr>
        <w:t xml:space="preserve">. Este estabelecimento de ensino atende às questões </w:t>
      </w:r>
      <w:proofErr w:type="spellStart"/>
      <w:r w:rsidRPr="003B491E">
        <w:rPr>
          <w:rFonts w:ascii="Bookman Old Style" w:hAnsi="Bookman Old Style" w:cs="Times New Roman"/>
          <w:color w:val="000000" w:themeColor="text1"/>
          <w:sz w:val="24"/>
          <w:szCs w:val="24"/>
        </w:rPr>
        <w:t>infraestruturais</w:t>
      </w:r>
      <w:proofErr w:type="spellEnd"/>
      <w:r w:rsidRPr="003B491E">
        <w:rPr>
          <w:rFonts w:ascii="Bookman Old Style" w:hAnsi="Bookman Old Style" w:cs="Times New Roman"/>
          <w:color w:val="000000" w:themeColor="text1"/>
          <w:sz w:val="24"/>
          <w:szCs w:val="24"/>
        </w:rPr>
        <w:t xml:space="preserve"> necessárias para o desenvolvimento das ações pedagógicas necessárias. Na educação infantil (creche e pré-escola), o Município dispõe de um educandário credenciado pelo Conselho Estadual de Educação, para a modalidade pré-escola. Este estabelecimento de ensino teve a sua estrutura adaptada para receber turmas da creche, com vistas ao atendimento desta faixa etária preconizada na Lei Federal. Portanto é imprescindível que o Município avalie a possibilidade de angariar recursos técnicos e financeiros em regime de colaboração com a União para a construção de uma creche, ou ampliação do educandário já existente.</w:t>
      </w:r>
    </w:p>
    <w:p w:rsidR="008F1C3D" w:rsidRPr="00D81FEF" w:rsidRDefault="00FC3746" w:rsidP="00D81FEF">
      <w:pPr>
        <w:pStyle w:val="Ttulo1"/>
        <w:numPr>
          <w:ilvl w:val="0"/>
          <w:numId w:val="25"/>
        </w:numPr>
        <w:rPr>
          <w:rFonts w:ascii="Bookman Old Style" w:hAnsi="Bookman Old Style"/>
          <w:color w:val="auto"/>
        </w:rPr>
      </w:pPr>
      <w:bookmarkStart w:id="23" w:name="_Toc497809489"/>
      <w:r w:rsidRPr="00D81FEF">
        <w:rPr>
          <w:rFonts w:ascii="Bookman Old Style" w:hAnsi="Bookman Old Style"/>
          <w:color w:val="auto"/>
        </w:rPr>
        <w:t xml:space="preserve">Meta sobre </w:t>
      </w:r>
      <w:r w:rsidR="00216EAD" w:rsidRPr="00D81FEF">
        <w:rPr>
          <w:rFonts w:ascii="Bookman Old Style" w:hAnsi="Bookman Old Style"/>
          <w:color w:val="auto"/>
        </w:rPr>
        <w:t>o Financiamento da Educação</w:t>
      </w:r>
      <w:bookmarkEnd w:id="23"/>
    </w:p>
    <w:p w:rsidR="00D81FEF" w:rsidRPr="00D81FEF" w:rsidRDefault="00D81FEF" w:rsidP="00D81FEF"/>
    <w:p w:rsidR="00A158C9" w:rsidRPr="00B3094D" w:rsidRDefault="00A158C9" w:rsidP="00E24794">
      <w:pPr>
        <w:jc w:val="both"/>
        <w:rPr>
          <w:rFonts w:ascii="Bookman Old Style" w:hAnsi="Bookman Old Style" w:cs="Times New Roman"/>
          <w:b/>
          <w:color w:val="000000" w:themeColor="text1"/>
          <w:sz w:val="24"/>
          <w:szCs w:val="24"/>
        </w:rPr>
      </w:pPr>
      <w:r w:rsidRPr="00B3094D">
        <w:rPr>
          <w:rFonts w:ascii="Bookman Old Style" w:hAnsi="Bookman Old Style" w:cs="Times New Roman"/>
          <w:b/>
          <w:color w:val="000000" w:themeColor="text1"/>
          <w:sz w:val="24"/>
          <w:szCs w:val="24"/>
        </w:rPr>
        <w:t xml:space="preserve">Meta </w:t>
      </w:r>
      <w:r w:rsidR="003B491E">
        <w:rPr>
          <w:rFonts w:ascii="Bookman Old Style" w:hAnsi="Bookman Old Style" w:cs="Times New Roman"/>
          <w:b/>
          <w:color w:val="000000" w:themeColor="text1"/>
          <w:sz w:val="24"/>
          <w:szCs w:val="24"/>
        </w:rPr>
        <w:t xml:space="preserve">nº. 20: </w:t>
      </w:r>
      <w:r w:rsidR="00E24794" w:rsidRPr="00E24794">
        <w:rPr>
          <w:rFonts w:ascii="Bookman Old Style" w:hAnsi="Bookman Old Style" w:cs="Times New Roman"/>
          <w:b/>
          <w:color w:val="000000" w:themeColor="text1"/>
          <w:sz w:val="24"/>
          <w:szCs w:val="24"/>
        </w:rPr>
        <w:t>Ampliar o investimento público em educação pública de forma a atingir, no mínimo, o patamar de 7% do Produto Interno Bruto (PIB) do país no quinto ano de vigência desta lei e, no mínimo, o equivalente a 10% do PIB ao final do decênio.</w:t>
      </w:r>
    </w:p>
    <w:p w:rsidR="001B2946" w:rsidRDefault="001B2946" w:rsidP="001B2946">
      <w:pPr>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Ofertar transporte escolar para 100% dos alunos no campo, conforme a legislação.</w:t>
      </w:r>
    </w:p>
    <w:p w:rsidR="001B2946" w:rsidRPr="00E846AA" w:rsidRDefault="001B2946" w:rsidP="001B2946">
      <w:pPr>
        <w:jc w:val="both"/>
        <w:rPr>
          <w:rFonts w:ascii="Bookman Old Style" w:hAnsi="Bookman Old Style" w:cs="Times New Roman"/>
          <w:b/>
          <w:color w:val="000000" w:themeColor="text1"/>
          <w:sz w:val="24"/>
          <w:szCs w:val="24"/>
        </w:rPr>
      </w:pPr>
      <w:r w:rsidRPr="00E846AA">
        <w:rPr>
          <w:rFonts w:ascii="Bookman Old Style" w:hAnsi="Bookman Old Style" w:cs="Times New Roman"/>
          <w:b/>
          <w:color w:val="000000" w:themeColor="text1"/>
          <w:sz w:val="24"/>
          <w:szCs w:val="24"/>
        </w:rPr>
        <w:t>Contextualização da Meta:</w:t>
      </w:r>
    </w:p>
    <w:p w:rsidR="001B2946" w:rsidRPr="001B2946" w:rsidRDefault="001B2946" w:rsidP="001B2946">
      <w:pPr>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A meta de número 20 do Plano Municipal de Educação, trás no seu bojo a ampliação do investimento público em educação pública de forma a atingir, no mínimo, o patamar de 7% do Produto Interno Bruto (PIB) do país no quinto ano de vigência desta lei e, no mínimo, o equivalente a 10% do PIB ao final do decênio.</w:t>
      </w:r>
    </w:p>
    <w:p w:rsidR="001B2946" w:rsidRPr="001B2946" w:rsidRDefault="001B2946" w:rsidP="001B2946">
      <w:pPr>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 xml:space="preserve">O investimento em Educação é imprescindível e fundamental para qualificar, disseminar e </w:t>
      </w:r>
      <w:proofErr w:type="spellStart"/>
      <w:r w:rsidRPr="001B2946">
        <w:rPr>
          <w:rFonts w:ascii="Bookman Old Style" w:hAnsi="Bookman Old Style" w:cs="Times New Roman"/>
          <w:color w:val="000000" w:themeColor="text1"/>
          <w:sz w:val="24"/>
          <w:szCs w:val="24"/>
        </w:rPr>
        <w:t>exponenciar</w:t>
      </w:r>
      <w:proofErr w:type="spellEnd"/>
      <w:r w:rsidRPr="001B2946">
        <w:rPr>
          <w:rFonts w:ascii="Bookman Old Style" w:hAnsi="Bookman Old Style" w:cs="Times New Roman"/>
          <w:color w:val="000000" w:themeColor="text1"/>
          <w:sz w:val="24"/>
          <w:szCs w:val="24"/>
        </w:rPr>
        <w:t xml:space="preserve"> o aprendizado dos estudantes. E isto refletirá no desenvolvimento do Município, Estado e País. O </w:t>
      </w:r>
      <w:r w:rsidRPr="001B2946">
        <w:rPr>
          <w:rFonts w:ascii="Bookman Old Style" w:hAnsi="Bookman Old Style" w:cs="Times New Roman"/>
          <w:color w:val="000000" w:themeColor="text1"/>
          <w:sz w:val="24"/>
          <w:szCs w:val="24"/>
        </w:rPr>
        <w:lastRenderedPageBreak/>
        <w:t>desenvolvimento não se restringe apenas nas questões econômicas, mas terá resultados intangíveis que são sentidos na participação social, cultura, ciência e tecnologia. Alavancando o desenvolvimento da nação, com vistas a atingir patamares mais elevados, criando condições para uma qualidade maior de vida à população.</w:t>
      </w:r>
    </w:p>
    <w:p w:rsidR="001B2946" w:rsidRDefault="001B2946" w:rsidP="001B2946">
      <w:pPr>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 xml:space="preserve">As estratégias propostas para esta meta visam garantir a fonte de financiamento de forma permanente e sustentável para a educação em todos os seus níveis. Buscar ampliar e subsidiar o controle social efetuado pela Comunidade com vistas a promover a transparência das contas públicas na educação. Este controle exercido pelos Conselhos Municipais, onde participará distintos segmentos da Sociedade; os representantes das entidades governamentais e não-governamentais. Garantir os investimentos mínimos preconizados na Constituição Federal em educação de 7% do PIB do país no quinto ano de vigência do Plano, e no mínimo 10% do PIB até o décimo ano. A participação de forma ativa da Comunidade nas definições das verbas de investimentos, sob uma forma transparente e democrática. Por meio de parcerias com Estado e a União promover atividades de cunho </w:t>
      </w:r>
      <w:proofErr w:type="spellStart"/>
      <w:r w:rsidRPr="001B2946">
        <w:rPr>
          <w:rFonts w:ascii="Bookman Old Style" w:hAnsi="Bookman Old Style" w:cs="Times New Roman"/>
          <w:color w:val="000000" w:themeColor="text1"/>
          <w:sz w:val="24"/>
          <w:szCs w:val="24"/>
        </w:rPr>
        <w:t>socioeducativas</w:t>
      </w:r>
      <w:proofErr w:type="spellEnd"/>
      <w:r w:rsidRPr="001B2946">
        <w:rPr>
          <w:rFonts w:ascii="Bookman Old Style" w:hAnsi="Bookman Old Style" w:cs="Times New Roman"/>
          <w:color w:val="000000" w:themeColor="text1"/>
          <w:sz w:val="24"/>
          <w:szCs w:val="24"/>
        </w:rPr>
        <w:t xml:space="preserve"> e culturais, objetando a formação do cidadão, fazendo uso do espaço físico da escola. Garantir a qualidade e a continuidade da alimentação escolar oferecida aos estudantes, prevendo os recursos orçamentários inerentes. Ampliar </w:t>
      </w:r>
      <w:proofErr w:type="gramStart"/>
      <w:r w:rsidRPr="001B2946">
        <w:rPr>
          <w:rFonts w:ascii="Bookman Old Style" w:hAnsi="Bookman Old Style" w:cs="Times New Roman"/>
          <w:color w:val="000000" w:themeColor="text1"/>
          <w:sz w:val="24"/>
          <w:szCs w:val="24"/>
        </w:rPr>
        <w:t>as vagas na educação profissional</w:t>
      </w:r>
      <w:proofErr w:type="gramEnd"/>
      <w:r w:rsidRPr="001B2946">
        <w:rPr>
          <w:rFonts w:ascii="Bookman Old Style" w:hAnsi="Bookman Old Style" w:cs="Times New Roman"/>
          <w:color w:val="000000" w:themeColor="text1"/>
          <w:sz w:val="24"/>
          <w:szCs w:val="24"/>
        </w:rPr>
        <w:t xml:space="preserve"> técnica, bem como na qualificação dos profissionais que atuam na área. Garantir os investimentos pertinentes a informatização nas escolas, por meio de regime de colaboração com o Estado e a União, com vistas a acompanhar a evolução tecnológica. Ofertar e garantir o transporte escolar no campo, em parcerias com o Estado e a União, para atenderas necessidades dos estudantes. A realização de reuniões e encontros periódicos do Fórum Municipal de Educação no decorrer da vigência do Plano, objetivando monitorá-lo, bem como participar da análise e da elaboração do Plano Plurianual.    </w:t>
      </w:r>
    </w:p>
    <w:p w:rsidR="00490E4D" w:rsidRDefault="00490E4D" w:rsidP="001B2946">
      <w:pPr>
        <w:jc w:val="both"/>
        <w:rPr>
          <w:rFonts w:ascii="Bookman Old Style" w:hAnsi="Bookman Old Style" w:cs="Times New Roman"/>
          <w:color w:val="000000" w:themeColor="text1"/>
          <w:sz w:val="24"/>
          <w:szCs w:val="24"/>
        </w:rPr>
      </w:pPr>
    </w:p>
    <w:p w:rsidR="00490E4D" w:rsidRPr="001B2946" w:rsidRDefault="00490E4D" w:rsidP="001B2946">
      <w:pPr>
        <w:jc w:val="both"/>
        <w:rPr>
          <w:rFonts w:ascii="Bookman Old Style" w:hAnsi="Bookman Old Style" w:cs="Times New Roman"/>
          <w:color w:val="000000" w:themeColor="text1"/>
          <w:sz w:val="24"/>
          <w:szCs w:val="24"/>
        </w:rPr>
      </w:pPr>
    </w:p>
    <w:tbl>
      <w:tblPr>
        <w:tblW w:w="9513" w:type="dxa"/>
        <w:tblInd w:w="55" w:type="dxa"/>
        <w:shd w:val="clear" w:color="auto" w:fill="FFFFFF" w:themeFill="background1"/>
        <w:tblLayout w:type="fixed"/>
        <w:tblCellMar>
          <w:left w:w="70" w:type="dxa"/>
          <w:right w:w="70" w:type="dxa"/>
        </w:tblCellMar>
        <w:tblLook w:val="04A0"/>
      </w:tblPr>
      <w:tblGrid>
        <w:gridCol w:w="866"/>
        <w:gridCol w:w="3260"/>
        <w:gridCol w:w="1276"/>
        <w:gridCol w:w="1843"/>
        <w:gridCol w:w="2268"/>
      </w:tblGrid>
      <w:tr w:rsidR="001B2946" w:rsidRPr="00540B0B" w:rsidTr="00E846AA">
        <w:trPr>
          <w:trHeight w:val="909"/>
        </w:trPr>
        <w:tc>
          <w:tcPr>
            <w:tcW w:w="866" w:type="dxa"/>
            <w:tcBorders>
              <w:top w:val="single" w:sz="4" w:space="0" w:color="auto"/>
              <w:left w:val="single" w:sz="4" w:space="0" w:color="auto"/>
              <w:bottom w:val="nil"/>
              <w:right w:val="single" w:sz="4" w:space="0" w:color="auto"/>
            </w:tcBorders>
            <w:shd w:val="clear" w:color="auto" w:fill="EEECE1" w:themeFill="background2"/>
            <w:noWrap/>
            <w:vAlign w:val="center"/>
            <w:hideMark/>
          </w:tcPr>
          <w:p w:rsidR="001B2946" w:rsidRPr="00540B0B" w:rsidRDefault="001B2946" w:rsidP="00C67879">
            <w:pPr>
              <w:spacing w:after="0" w:line="240" w:lineRule="auto"/>
              <w:jc w:val="both"/>
              <w:rPr>
                <w:rFonts w:ascii="Calibri" w:eastAsia="Times New Roman" w:hAnsi="Calibri" w:cs="Calibri"/>
                <w:color w:val="000000"/>
                <w:lang w:eastAsia="pt-BR"/>
              </w:rPr>
            </w:pPr>
            <w:r w:rsidRPr="00540B0B">
              <w:rPr>
                <w:rFonts w:ascii="Calibri" w:eastAsia="Times New Roman" w:hAnsi="Calibri" w:cs="Calibri"/>
                <w:color w:val="000000"/>
                <w:lang w:eastAsia="pt-BR"/>
              </w:rPr>
              <w:lastRenderedPageBreak/>
              <w:t>Estratégia</w:t>
            </w:r>
          </w:p>
        </w:tc>
        <w:tc>
          <w:tcPr>
            <w:tcW w:w="3260" w:type="dxa"/>
            <w:tcBorders>
              <w:top w:val="single" w:sz="4" w:space="0" w:color="auto"/>
              <w:left w:val="nil"/>
              <w:bottom w:val="nil"/>
              <w:right w:val="single" w:sz="4" w:space="0" w:color="auto"/>
            </w:tcBorders>
            <w:shd w:val="clear" w:color="auto" w:fill="EEECE1" w:themeFill="background2"/>
            <w:vAlign w:val="center"/>
            <w:hideMark/>
          </w:tcPr>
          <w:p w:rsidR="001B2946" w:rsidRPr="00540B0B" w:rsidRDefault="001B2946"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Descrição da Estratégia</w:t>
            </w:r>
          </w:p>
        </w:tc>
        <w:tc>
          <w:tcPr>
            <w:tcW w:w="1276" w:type="dxa"/>
            <w:tcBorders>
              <w:top w:val="single" w:sz="4" w:space="0" w:color="auto"/>
              <w:left w:val="nil"/>
              <w:bottom w:val="nil"/>
              <w:right w:val="single" w:sz="4" w:space="0" w:color="auto"/>
            </w:tcBorders>
            <w:shd w:val="clear" w:color="auto" w:fill="EEECE1" w:themeFill="background2"/>
            <w:noWrap/>
            <w:vAlign w:val="center"/>
            <w:hideMark/>
          </w:tcPr>
          <w:p w:rsidR="001B2946" w:rsidRPr="00540B0B" w:rsidRDefault="001B2946"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Prazo</w:t>
            </w:r>
          </w:p>
        </w:tc>
        <w:tc>
          <w:tcPr>
            <w:tcW w:w="1843" w:type="dxa"/>
            <w:tcBorders>
              <w:top w:val="single" w:sz="4" w:space="0" w:color="auto"/>
              <w:left w:val="nil"/>
              <w:bottom w:val="nil"/>
              <w:right w:val="single" w:sz="4" w:space="0" w:color="auto"/>
            </w:tcBorders>
            <w:shd w:val="clear" w:color="auto" w:fill="EEECE1" w:themeFill="background2"/>
            <w:noWrap/>
            <w:vAlign w:val="center"/>
            <w:hideMark/>
          </w:tcPr>
          <w:p w:rsidR="001B2946" w:rsidRPr="00540B0B" w:rsidRDefault="001B2946" w:rsidP="00C67879">
            <w:pPr>
              <w:spacing w:after="0" w:line="240" w:lineRule="auto"/>
              <w:rPr>
                <w:rFonts w:ascii="Calibri" w:eastAsia="Times New Roman" w:hAnsi="Calibri" w:cs="Calibri"/>
                <w:color w:val="000000"/>
                <w:lang w:eastAsia="pt-BR"/>
              </w:rPr>
            </w:pPr>
            <w:r w:rsidRPr="00540B0B">
              <w:rPr>
                <w:rFonts w:ascii="Calibri" w:eastAsia="Times New Roman" w:hAnsi="Calibri" w:cs="Calibri"/>
                <w:color w:val="000000"/>
                <w:lang w:eastAsia="pt-BR"/>
              </w:rPr>
              <w:t>Previsões Orçamentárias</w:t>
            </w:r>
          </w:p>
        </w:tc>
        <w:tc>
          <w:tcPr>
            <w:tcW w:w="2268" w:type="dxa"/>
            <w:tcBorders>
              <w:top w:val="single" w:sz="4" w:space="0" w:color="auto"/>
              <w:left w:val="nil"/>
              <w:bottom w:val="nil"/>
              <w:right w:val="single" w:sz="4" w:space="0" w:color="auto"/>
            </w:tcBorders>
            <w:shd w:val="clear" w:color="auto" w:fill="EEECE1" w:themeFill="background2"/>
            <w:noWrap/>
            <w:vAlign w:val="center"/>
            <w:hideMark/>
          </w:tcPr>
          <w:p w:rsidR="001B2946" w:rsidRDefault="001B2946" w:rsidP="00C67879">
            <w:pPr>
              <w:spacing w:after="0" w:line="240" w:lineRule="auto"/>
              <w:jc w:val="center"/>
              <w:rPr>
                <w:rFonts w:ascii="Calibri" w:eastAsia="Times New Roman" w:hAnsi="Calibri" w:cs="Calibri"/>
                <w:color w:val="000000"/>
                <w:lang w:eastAsia="pt-BR"/>
              </w:rPr>
            </w:pPr>
            <w:r w:rsidRPr="007A7F04">
              <w:rPr>
                <w:rFonts w:ascii="Calibri" w:eastAsia="Times New Roman" w:hAnsi="Calibri" w:cs="Calibri"/>
                <w:color w:val="000000"/>
                <w:lang w:eastAsia="pt-BR"/>
              </w:rPr>
              <w:t>Status da Estratégia</w:t>
            </w:r>
          </w:p>
          <w:p w:rsidR="001B2946" w:rsidRPr="00540B0B" w:rsidRDefault="001B2946" w:rsidP="00C67879">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 não realizada em andamento)</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20.1</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Garantir fonte de financiamento permanente e sustentável para todas as etapas e modalidades da educação pública.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20.2</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Aperfeiçoar e ampliar os mecanismos de acompanhamento e controle social, a fim de garantir a transparência na arrecadação do salário educação e de todos os recursos públicos aplicados em educação, bem como do controle de investimento e tipo de despesa per capita por estudante em todas as etapas da educação pública.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 xml:space="preserve">Realizada </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20.3</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Buscar a ampliação do percentual de investimento mínimo obrigatório de recursos financeiros direcionados aos estudantes dos diferentes níveis e modalidades da educação básica, baseado no critério custo\aluno\qualidade.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20.4</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 xml:space="preserve"> Garantir a participação ativa das comunidades nas definições referentes às verbas de investimento e qualificação das escolas, de forma aberta, democrática e pública.</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20.5</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 xml:space="preserve"> Buscar a permanente atualização dos espaços pedagógicos das escolas, considerando suas particularidades e necessidades, em ações conjuntas entre cada mantenedora e suas escolas.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lastRenderedPageBreak/>
              <w:t>20.6</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 xml:space="preserve">20.6. Manter parceria com entidades do município ou da região, para desenvolver atividades </w:t>
            </w:r>
            <w:proofErr w:type="spellStart"/>
            <w:r w:rsidRPr="00E846AA">
              <w:rPr>
                <w:rFonts w:ascii="Calibri" w:eastAsia="Times New Roman" w:hAnsi="Calibri" w:cs="Calibri"/>
                <w:color w:val="000000"/>
                <w:lang w:eastAsia="pt-BR"/>
              </w:rPr>
              <w:t>socioeducativas</w:t>
            </w:r>
            <w:proofErr w:type="spellEnd"/>
            <w:r w:rsidRPr="00E846AA">
              <w:rPr>
                <w:rFonts w:ascii="Calibri" w:eastAsia="Times New Roman" w:hAnsi="Calibri" w:cs="Calibri"/>
                <w:color w:val="000000"/>
                <w:lang w:eastAsia="pt-BR"/>
              </w:rPr>
              <w:t xml:space="preserve"> e culturais, buscando o convívio e a formação do cidadão, usando, para isso, as escolas e os espaços disponíveis na comunidade.</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20.7</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Garantir a continuidade da qualidade da alimentação escolar oferecida, prevendo a complementação de recursos nos respectivos orçamentos públicos.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20.8</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Estabelecer convênios com as instituições profissionalizantes públicas, buscando a ampliação das vagas para a qualificação profissional.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proofErr w:type="spellStart"/>
            <w:r>
              <w:rPr>
                <w:rFonts w:ascii="Calibri" w:eastAsia="Times New Roman" w:hAnsi="Calibri" w:cs="Calibri"/>
                <w:color w:val="000000"/>
                <w:lang w:eastAsia="pt-BR"/>
              </w:rPr>
              <w:t>Realiada</w:t>
            </w:r>
            <w:proofErr w:type="spellEnd"/>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20.9</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Garantir em regime de colaboração com a união, recursos para investir na formação continuada de todos os profissionais da educação, visando a atender as diferentes especificidades.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20.10</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 xml:space="preserve"> Investir em regime de colaboração com o estado e a união, na informatização das escolas, nos aspectos administrativos e pedagógicos, e na conexão em rede dos estabelecimentos de ensino com suas mantenedoras e destes entre si, acompanhando a evolução dos recursos tecnológicos.</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Não 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t>20.11</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Oferecer, garantir e ampliar o transporte escolar no campo, em parceria com o Estado e a União, para atender às necessidades dos alunos, conforme legislação.</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Plano Plurianual: 2014/2017 - Lei Orçamentária Anual - 2017 e Lei das Diretrizes Orçamentárias - 2017</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r w:rsidR="00E846AA" w:rsidRPr="00E846AA" w:rsidTr="00E846AA">
        <w:trPr>
          <w:trHeight w:val="909"/>
        </w:trPr>
        <w:tc>
          <w:tcPr>
            <w:tcW w:w="866" w:type="dxa"/>
            <w:tcBorders>
              <w:top w:val="single" w:sz="4" w:space="0" w:color="auto"/>
              <w:left w:val="single" w:sz="4" w:space="0" w:color="auto"/>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both"/>
              <w:rPr>
                <w:rFonts w:ascii="Calibri" w:eastAsia="Times New Roman" w:hAnsi="Calibri" w:cs="Calibri"/>
                <w:color w:val="000000"/>
                <w:lang w:eastAsia="pt-BR"/>
              </w:rPr>
            </w:pPr>
            <w:r w:rsidRPr="00E846AA">
              <w:rPr>
                <w:rFonts w:ascii="Calibri" w:eastAsia="Times New Roman" w:hAnsi="Calibri" w:cs="Calibri"/>
                <w:color w:val="000000"/>
                <w:lang w:eastAsia="pt-BR"/>
              </w:rPr>
              <w:lastRenderedPageBreak/>
              <w:t>20.12</w:t>
            </w:r>
          </w:p>
        </w:tc>
        <w:tc>
          <w:tcPr>
            <w:tcW w:w="3260" w:type="dxa"/>
            <w:tcBorders>
              <w:top w:val="single" w:sz="4" w:space="0" w:color="auto"/>
              <w:left w:val="nil"/>
              <w:bottom w:val="nil"/>
              <w:right w:val="single" w:sz="4" w:space="0" w:color="auto"/>
            </w:tcBorders>
            <w:shd w:val="clear" w:color="auto" w:fill="FFFFFF" w:themeFill="background1"/>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Realizar encontros periódicos com o Fórum Municipal de Educação constituído, durante a vigência do Plano Municipal de Educação a fim de viabilizar a inclusão de suas proposições na elaboração do Plano Plurianual.</w:t>
            </w:r>
          </w:p>
        </w:tc>
        <w:tc>
          <w:tcPr>
            <w:tcW w:w="1276"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Anual até 2024</w:t>
            </w:r>
          </w:p>
        </w:tc>
        <w:tc>
          <w:tcPr>
            <w:tcW w:w="1843"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rPr>
                <w:rFonts w:ascii="Calibri" w:eastAsia="Times New Roman" w:hAnsi="Calibri" w:cs="Calibri"/>
                <w:color w:val="000000"/>
                <w:lang w:eastAsia="pt-BR"/>
              </w:rPr>
            </w:pPr>
            <w:r w:rsidRPr="00E846AA">
              <w:rPr>
                <w:rFonts w:ascii="Calibri" w:eastAsia="Times New Roman" w:hAnsi="Calibri" w:cs="Calibri"/>
                <w:color w:val="000000"/>
                <w:lang w:eastAsia="pt-BR"/>
              </w:rPr>
              <w:t>Não se Aplica</w:t>
            </w:r>
          </w:p>
        </w:tc>
        <w:tc>
          <w:tcPr>
            <w:tcW w:w="2268" w:type="dxa"/>
            <w:tcBorders>
              <w:top w:val="single" w:sz="4" w:space="0" w:color="auto"/>
              <w:left w:val="nil"/>
              <w:bottom w:val="nil"/>
              <w:right w:val="single" w:sz="4" w:space="0" w:color="auto"/>
            </w:tcBorders>
            <w:shd w:val="clear" w:color="auto" w:fill="FFFFFF" w:themeFill="background1"/>
            <w:noWrap/>
            <w:vAlign w:val="center"/>
            <w:hideMark/>
          </w:tcPr>
          <w:p w:rsidR="00E846AA" w:rsidRPr="00E846AA" w:rsidRDefault="00E846AA" w:rsidP="00E846AA">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Realizada</w:t>
            </w:r>
          </w:p>
        </w:tc>
      </w:tr>
    </w:tbl>
    <w:p w:rsidR="001B2946" w:rsidRPr="001B2946" w:rsidRDefault="001B2946" w:rsidP="001B2946">
      <w:pPr>
        <w:jc w:val="both"/>
        <w:rPr>
          <w:rFonts w:ascii="Bookman Old Style" w:hAnsi="Bookman Old Style" w:cs="Times New Roman"/>
          <w:color w:val="000000" w:themeColor="text1"/>
          <w:sz w:val="24"/>
          <w:szCs w:val="24"/>
        </w:rPr>
      </w:pPr>
    </w:p>
    <w:p w:rsidR="001B2946" w:rsidRPr="00E846AA" w:rsidRDefault="001B2946" w:rsidP="001B2946">
      <w:pPr>
        <w:jc w:val="both"/>
        <w:rPr>
          <w:rFonts w:ascii="Bookman Old Style" w:hAnsi="Bookman Old Style" w:cs="Times New Roman"/>
          <w:b/>
          <w:color w:val="000000" w:themeColor="text1"/>
          <w:sz w:val="24"/>
          <w:szCs w:val="24"/>
        </w:rPr>
      </w:pPr>
      <w:r w:rsidRPr="00E846AA">
        <w:rPr>
          <w:rFonts w:ascii="Bookman Old Style" w:hAnsi="Bookman Old Style" w:cs="Times New Roman"/>
          <w:b/>
          <w:color w:val="000000" w:themeColor="text1"/>
          <w:sz w:val="24"/>
          <w:szCs w:val="24"/>
        </w:rPr>
        <w:t>Sistematização e Análise dos Dados:</w:t>
      </w:r>
    </w:p>
    <w:p w:rsidR="001B2946" w:rsidRPr="001B2946" w:rsidRDefault="001B2946" w:rsidP="00E846AA">
      <w:pPr>
        <w:ind w:firstLine="567"/>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 xml:space="preserve">No concernente a esta meta os dados levantados pertinentes a mesmo, correspondem às informações elencadas junto a Secretaria Municipal de Educação. Dentre estas informações podemos destacar que; o Município oferece para 100 % dos alunos do campo o transporte escolar de forma gratuita, conforme o previsto na legislação, a merenda escolar também é ofertada regularmente nas escolas, obedecendo aos critérios definidos pelo nutricionista no que tange o cardápio adotado, bem como os gêneros oferecidos. O Município instituiu e designou membros por meio de Portaria, para comporem o Fórum Municipal de Educação, objetivando ser uma instância de monitoramento e fiscalização do Plano Municipal de Educação. </w:t>
      </w:r>
    </w:p>
    <w:p w:rsidR="001B2946" w:rsidRPr="00E846AA" w:rsidRDefault="001B2946" w:rsidP="001B2946">
      <w:pPr>
        <w:jc w:val="both"/>
        <w:rPr>
          <w:rFonts w:ascii="Bookman Old Style" w:hAnsi="Bookman Old Style" w:cs="Times New Roman"/>
          <w:b/>
          <w:color w:val="000000" w:themeColor="text1"/>
          <w:sz w:val="24"/>
          <w:szCs w:val="24"/>
        </w:rPr>
      </w:pPr>
      <w:r w:rsidRPr="00E846AA">
        <w:rPr>
          <w:rFonts w:ascii="Bookman Old Style" w:hAnsi="Bookman Old Style" w:cs="Times New Roman"/>
          <w:b/>
          <w:color w:val="000000" w:themeColor="text1"/>
          <w:sz w:val="24"/>
          <w:szCs w:val="24"/>
        </w:rPr>
        <w:t>Conclusão a respeito da Meta:</w:t>
      </w:r>
    </w:p>
    <w:p w:rsidR="001B2946" w:rsidRPr="001B2946" w:rsidRDefault="001B2946" w:rsidP="00E846AA">
      <w:pPr>
        <w:ind w:firstLine="567"/>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 xml:space="preserve">O investimento em educação deve ser priorizado pelos entes Federal e Estadual, no âmbito do Município de Paulo Bento podemos inferir e </w:t>
      </w:r>
      <w:proofErr w:type="spellStart"/>
      <w:r w:rsidRPr="001B2946">
        <w:rPr>
          <w:rFonts w:ascii="Bookman Old Style" w:hAnsi="Bookman Old Style" w:cs="Times New Roman"/>
          <w:color w:val="000000" w:themeColor="text1"/>
          <w:sz w:val="24"/>
          <w:szCs w:val="24"/>
        </w:rPr>
        <w:t>consequentemente</w:t>
      </w:r>
      <w:proofErr w:type="spellEnd"/>
      <w:r w:rsidRPr="001B2946">
        <w:rPr>
          <w:rFonts w:ascii="Bookman Old Style" w:hAnsi="Bookman Old Style" w:cs="Times New Roman"/>
          <w:color w:val="000000" w:themeColor="text1"/>
          <w:sz w:val="24"/>
          <w:szCs w:val="24"/>
        </w:rPr>
        <w:t xml:space="preserve"> concluir os seguintes aspectos. O transporte escolar atinge 100% dos alunos do interior de forma gratuita, a merenda escolar é ofertada no espaço físico das escolas, tendo acompanhamento de nutricionista responsável, bem como a complementação por parte do município nos valores destinados a esta finalidade. O Município tem Fórum Municipal de Educação criado e ativo na qual se reúne semestralmente para dirimir assuntos pertinentes a educação (Plano Plurianual e Monitoramento do Plano Municipal de Educação).</w:t>
      </w:r>
    </w:p>
    <w:p w:rsidR="001B2946" w:rsidRPr="001B2946" w:rsidRDefault="001B2946" w:rsidP="00E846AA">
      <w:pPr>
        <w:ind w:firstLine="567"/>
        <w:jc w:val="both"/>
        <w:rPr>
          <w:rFonts w:ascii="Bookman Old Style" w:hAnsi="Bookman Old Style" w:cs="Times New Roman"/>
          <w:color w:val="000000" w:themeColor="text1"/>
          <w:sz w:val="24"/>
          <w:szCs w:val="24"/>
        </w:rPr>
      </w:pPr>
      <w:r w:rsidRPr="001B2946">
        <w:rPr>
          <w:rFonts w:ascii="Bookman Old Style" w:hAnsi="Bookman Old Style" w:cs="Times New Roman"/>
          <w:color w:val="000000" w:themeColor="text1"/>
          <w:sz w:val="24"/>
          <w:szCs w:val="24"/>
        </w:rPr>
        <w:t xml:space="preserve">Entretanto notamos que deve ser fortalecida a participação da Comunidade Escolar nos processos decisórios das escolas, com vistas a democratizar as decisões. Também é importante incrementar a informatização dos estabelecimentos educacionais, com recursos próprios </w:t>
      </w:r>
      <w:r w:rsidRPr="001B2946">
        <w:rPr>
          <w:rFonts w:ascii="Bookman Old Style" w:hAnsi="Bookman Old Style" w:cs="Times New Roman"/>
          <w:color w:val="000000" w:themeColor="text1"/>
          <w:sz w:val="24"/>
          <w:szCs w:val="24"/>
        </w:rPr>
        <w:lastRenderedPageBreak/>
        <w:t>da Manutenção e Desenvolvimento do Ensino ou em regime de colaboração com a União.</w:t>
      </w:r>
    </w:p>
    <w:p w:rsidR="00490E4D" w:rsidRDefault="00490E4D" w:rsidP="00490E4D">
      <w:pPr>
        <w:pStyle w:val="PargrafodaLista"/>
        <w:numPr>
          <w:ilvl w:val="0"/>
          <w:numId w:val="22"/>
        </w:numPr>
        <w:jc w:val="both"/>
        <w:rPr>
          <w:rFonts w:ascii="Bookman Old Style" w:hAnsi="Bookman Old Style" w:cs="Times New Roman"/>
          <w:b/>
          <w:color w:val="000000" w:themeColor="text1"/>
          <w:sz w:val="24"/>
          <w:szCs w:val="24"/>
        </w:rPr>
      </w:pPr>
      <w:r w:rsidRPr="00047456">
        <w:rPr>
          <w:rFonts w:ascii="Bookman Old Style" w:hAnsi="Bookman Old Style" w:cs="Times New Roman"/>
          <w:b/>
          <w:color w:val="000000" w:themeColor="text1"/>
          <w:sz w:val="24"/>
          <w:szCs w:val="24"/>
        </w:rPr>
        <w:t>Sugestão de Nova Redação da Meta:</w:t>
      </w:r>
    </w:p>
    <w:p w:rsidR="00490E4D" w:rsidRPr="00666FDE" w:rsidRDefault="00490E4D" w:rsidP="00490E4D">
      <w:pPr>
        <w:ind w:firstLine="567"/>
        <w:jc w:val="both"/>
        <w:rPr>
          <w:rFonts w:ascii="Bookman Old Style" w:hAnsi="Bookman Old Style" w:cs="Times New Roman"/>
          <w:i/>
          <w:color w:val="000000" w:themeColor="text1"/>
          <w:sz w:val="24"/>
          <w:szCs w:val="24"/>
        </w:rPr>
      </w:pPr>
      <w:r>
        <w:rPr>
          <w:rFonts w:ascii="Bookman Old Style" w:hAnsi="Bookman Old Style" w:cs="Times New Roman"/>
          <w:color w:val="000000" w:themeColor="text1"/>
          <w:sz w:val="24"/>
          <w:szCs w:val="24"/>
        </w:rPr>
        <w:t>Com relação à Meta nº. 20</w:t>
      </w:r>
      <w:r w:rsidRPr="00666FDE">
        <w:rPr>
          <w:rFonts w:ascii="Bookman Old Style" w:hAnsi="Bookman Old Style" w:cs="Times New Roman"/>
          <w:color w:val="000000" w:themeColor="text1"/>
          <w:sz w:val="24"/>
          <w:szCs w:val="24"/>
        </w:rPr>
        <w:t>, após análise, e considerando que a sua redação não está em concordância com o PNE, propõe-se a seguinte adequação a ser realizada na íntegra:</w:t>
      </w:r>
    </w:p>
    <w:p w:rsidR="00E24794" w:rsidRDefault="00490E4D" w:rsidP="00E24794">
      <w:pPr>
        <w:jc w:val="both"/>
        <w:rPr>
          <w:rFonts w:ascii="Bookman Old Style" w:hAnsi="Bookman Old Style" w:cs="Times New Roman"/>
          <w:i/>
          <w:color w:val="000000" w:themeColor="text1"/>
          <w:sz w:val="24"/>
          <w:szCs w:val="24"/>
        </w:rPr>
      </w:pPr>
      <w:r w:rsidRPr="00490E4D">
        <w:rPr>
          <w:rFonts w:ascii="Bookman Old Style" w:hAnsi="Bookman Old Style" w:cs="Times New Roman"/>
          <w:i/>
          <w:color w:val="000000" w:themeColor="text1"/>
          <w:sz w:val="24"/>
          <w:szCs w:val="24"/>
        </w:rPr>
        <w:t xml:space="preserve">“Ampliar o investimento público em educação pública de forma a atingir, no mínimo, o patamar de 7% (sete por cento) do Produto Interno Bruto - PIB do País </w:t>
      </w:r>
      <w:r w:rsidRPr="00490E4D">
        <w:rPr>
          <w:rFonts w:ascii="Bookman Old Style" w:hAnsi="Bookman Old Style" w:cs="Times New Roman"/>
          <w:i/>
          <w:color w:val="000000" w:themeColor="text1"/>
          <w:sz w:val="24"/>
          <w:szCs w:val="24"/>
          <w:highlight w:val="lightGray"/>
        </w:rPr>
        <w:t>no 5º (quinto) ano de vigência desta Lei</w:t>
      </w:r>
      <w:r w:rsidRPr="00490E4D">
        <w:rPr>
          <w:rFonts w:ascii="Bookman Old Style" w:hAnsi="Bookman Old Style" w:cs="Times New Roman"/>
          <w:i/>
          <w:color w:val="000000" w:themeColor="text1"/>
          <w:sz w:val="24"/>
          <w:szCs w:val="24"/>
        </w:rPr>
        <w:t xml:space="preserve"> e, no mínimo, o equivalente a 10% (dez por cento) do PIB ao final do decênio.”</w:t>
      </w:r>
    </w:p>
    <w:p w:rsidR="004507BB" w:rsidRPr="00D81FEF" w:rsidRDefault="004507BB" w:rsidP="00D81FEF">
      <w:pPr>
        <w:pStyle w:val="Ttulo1"/>
        <w:numPr>
          <w:ilvl w:val="0"/>
          <w:numId w:val="23"/>
        </w:numPr>
        <w:rPr>
          <w:rFonts w:ascii="Bookman Old Style" w:hAnsi="Bookman Old Style"/>
          <w:color w:val="auto"/>
        </w:rPr>
      </w:pPr>
      <w:bookmarkStart w:id="24" w:name="_Toc497809490"/>
      <w:r w:rsidRPr="00D81FEF">
        <w:rPr>
          <w:rFonts w:ascii="Bookman Old Style" w:hAnsi="Bookman Old Style"/>
          <w:color w:val="auto"/>
        </w:rPr>
        <w:t>CONSIDERAÇÕES FINAIS</w:t>
      </w:r>
      <w:bookmarkEnd w:id="24"/>
    </w:p>
    <w:p w:rsidR="00D81FEF" w:rsidRPr="00D81FEF" w:rsidRDefault="00D81FEF" w:rsidP="00D81FEF"/>
    <w:p w:rsidR="0063056F" w:rsidRDefault="00E846AA" w:rsidP="00E846AA">
      <w:pPr>
        <w:ind w:firstLine="567"/>
        <w:jc w:val="both"/>
        <w:rPr>
          <w:rFonts w:ascii="Bookman Old Style" w:hAnsi="Bookman Old Style" w:cs="Times New Roman"/>
          <w:color w:val="000000" w:themeColor="text1"/>
          <w:sz w:val="24"/>
          <w:szCs w:val="24"/>
        </w:rPr>
      </w:pPr>
      <w:r w:rsidRPr="00E846AA">
        <w:rPr>
          <w:rFonts w:ascii="Bookman Old Style" w:hAnsi="Bookman Old Style" w:cs="Times New Roman"/>
          <w:color w:val="000000" w:themeColor="text1"/>
          <w:sz w:val="24"/>
          <w:szCs w:val="24"/>
        </w:rPr>
        <w:t>No concernente aos indicadores constantes no monitoramento do Plano Municipal de Educação de Paulo Bento para fins de avaliação, adotou-se o plano de metas elaboradas utilizando indicadores e fontes sugeridos pelo Ministério da Educação, bem como fontes de dados oriundas da Prefeitura Municipal</w:t>
      </w:r>
      <w:r w:rsidR="002C63DC">
        <w:rPr>
          <w:rFonts w:ascii="Bookman Old Style" w:hAnsi="Bookman Old Style" w:cs="Times New Roman"/>
          <w:color w:val="000000" w:themeColor="text1"/>
          <w:sz w:val="24"/>
          <w:szCs w:val="24"/>
        </w:rPr>
        <w:t xml:space="preserve"> em casos complementares</w:t>
      </w:r>
      <w:r w:rsidRPr="00E846AA">
        <w:rPr>
          <w:rFonts w:ascii="Bookman Old Style" w:hAnsi="Bookman Old Style" w:cs="Times New Roman"/>
          <w:color w:val="000000" w:themeColor="text1"/>
          <w:sz w:val="24"/>
          <w:szCs w:val="24"/>
        </w:rPr>
        <w:t>. A atualização mediante a análise dos dados constantes neste relatório deu-se em 03 de maio co corrente, após a revisão da totalidade dos indicadores propostos, revisando-os e alterando-os. Na etapa de monitoramento e avaliação do Plano Municipal de educação teve a participação nos debates da Secretaria de Educação, Conselho Municipal de Educação, Fórum Municipal de Educação e Equipe Técnica de Monitoramento e Avaliação do Plano. A produção do relatório da etapa avaliativa esteve sob a responsabilidade dos Membros da Equipe Técnica e da Coordenação Geral do Plano Municipal de Educação.</w:t>
      </w:r>
    </w:p>
    <w:p w:rsidR="00436809" w:rsidRDefault="00436809" w:rsidP="00436809">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Traçando um panorama a respeito das vinte (20) metas do PME, temos um parecer conclusivo a respeito de ambas, bem como a respeito do concernente ao </w:t>
      </w:r>
      <w:proofErr w:type="spellStart"/>
      <w:r>
        <w:rPr>
          <w:rFonts w:ascii="Bookman Old Style" w:hAnsi="Bookman Old Style" w:cs="Times New Roman"/>
          <w:color w:val="000000" w:themeColor="text1"/>
          <w:sz w:val="24"/>
          <w:szCs w:val="24"/>
        </w:rPr>
        <w:t>atingimento</w:t>
      </w:r>
      <w:proofErr w:type="spellEnd"/>
      <w:r>
        <w:rPr>
          <w:rFonts w:ascii="Bookman Old Style" w:hAnsi="Bookman Old Style" w:cs="Times New Roman"/>
          <w:color w:val="000000" w:themeColor="text1"/>
          <w:sz w:val="24"/>
          <w:szCs w:val="24"/>
        </w:rPr>
        <w:t xml:space="preserve">. Há indubitavelmente várias metas que não atingiram ao pactuado, como as de nº. 01, </w:t>
      </w:r>
      <w:proofErr w:type="gramStart"/>
      <w:r>
        <w:rPr>
          <w:rFonts w:ascii="Bookman Old Style" w:hAnsi="Bookman Old Style" w:cs="Times New Roman"/>
          <w:color w:val="000000" w:themeColor="text1"/>
          <w:sz w:val="24"/>
          <w:szCs w:val="24"/>
        </w:rPr>
        <w:t>02 ,</w:t>
      </w:r>
      <w:proofErr w:type="gramEnd"/>
      <w:r>
        <w:rPr>
          <w:rFonts w:ascii="Bookman Old Style" w:hAnsi="Bookman Old Style" w:cs="Times New Roman"/>
          <w:color w:val="000000" w:themeColor="text1"/>
          <w:sz w:val="24"/>
          <w:szCs w:val="24"/>
        </w:rPr>
        <w:t xml:space="preserve"> 03, 04, 06, 07, 08 ,09,10, 12, 13, 15 e 16. As metas atingidas com o pactuado foram as de nº. 05, 11, 17, 18, 19 e 20. Entretanto temos metas que </w:t>
      </w:r>
      <w:proofErr w:type="gramStart"/>
      <w:r>
        <w:rPr>
          <w:rFonts w:ascii="Bookman Old Style" w:hAnsi="Bookman Old Style" w:cs="Times New Roman"/>
          <w:color w:val="000000" w:themeColor="text1"/>
          <w:sz w:val="24"/>
          <w:szCs w:val="24"/>
        </w:rPr>
        <w:t>forma atingidas</w:t>
      </w:r>
      <w:proofErr w:type="gramEnd"/>
      <w:r>
        <w:rPr>
          <w:rFonts w:ascii="Bookman Old Style" w:hAnsi="Bookman Old Style" w:cs="Times New Roman"/>
          <w:color w:val="000000" w:themeColor="text1"/>
          <w:sz w:val="24"/>
          <w:szCs w:val="24"/>
        </w:rPr>
        <w:t xml:space="preserve"> parcialmente, </w:t>
      </w:r>
      <w:r>
        <w:rPr>
          <w:rFonts w:ascii="Bookman Old Style" w:hAnsi="Bookman Old Style" w:cs="Times New Roman"/>
          <w:color w:val="000000" w:themeColor="text1"/>
          <w:sz w:val="24"/>
          <w:szCs w:val="24"/>
        </w:rPr>
        <w:lastRenderedPageBreak/>
        <w:t>como as de nº. 01, 02, 03, 06, 08, 09, 12, 15 e 16.</w:t>
      </w:r>
      <w:r w:rsidR="00FC386E">
        <w:rPr>
          <w:rFonts w:ascii="Bookman Old Style" w:hAnsi="Bookman Old Style" w:cs="Times New Roman"/>
          <w:color w:val="000000" w:themeColor="text1"/>
          <w:sz w:val="24"/>
          <w:szCs w:val="24"/>
        </w:rPr>
        <w:t xml:space="preserve"> Podemos </w:t>
      </w:r>
      <w:proofErr w:type="gramStart"/>
      <w:r w:rsidR="00FC386E">
        <w:rPr>
          <w:rFonts w:ascii="Bookman Old Style" w:hAnsi="Bookman Old Style" w:cs="Times New Roman"/>
          <w:color w:val="000000" w:themeColor="text1"/>
          <w:sz w:val="24"/>
          <w:szCs w:val="24"/>
        </w:rPr>
        <w:t>desta forma inferir</w:t>
      </w:r>
      <w:proofErr w:type="gramEnd"/>
      <w:r w:rsidR="00FC386E">
        <w:rPr>
          <w:rFonts w:ascii="Bookman Old Style" w:hAnsi="Bookman Old Style" w:cs="Times New Roman"/>
          <w:color w:val="000000" w:themeColor="text1"/>
          <w:sz w:val="24"/>
          <w:szCs w:val="24"/>
        </w:rPr>
        <w:t xml:space="preserve"> que há sim um avanço no que tange ao </w:t>
      </w:r>
      <w:proofErr w:type="spellStart"/>
      <w:r w:rsidR="00FC386E">
        <w:rPr>
          <w:rFonts w:ascii="Bookman Old Style" w:hAnsi="Bookman Old Style" w:cs="Times New Roman"/>
          <w:color w:val="000000" w:themeColor="text1"/>
          <w:sz w:val="24"/>
          <w:szCs w:val="24"/>
        </w:rPr>
        <w:t>atingimento</w:t>
      </w:r>
      <w:proofErr w:type="spellEnd"/>
      <w:r w:rsidR="00FC386E">
        <w:rPr>
          <w:rFonts w:ascii="Bookman Old Style" w:hAnsi="Bookman Old Style" w:cs="Times New Roman"/>
          <w:color w:val="000000" w:themeColor="text1"/>
          <w:sz w:val="24"/>
          <w:szCs w:val="24"/>
        </w:rPr>
        <w:t xml:space="preserve"> das metas do PME e em consonância com o PNE. Carece-se no Município de investimentos </w:t>
      </w:r>
      <w:proofErr w:type="spellStart"/>
      <w:r w:rsidR="00FC386E">
        <w:rPr>
          <w:rFonts w:ascii="Bookman Old Style" w:hAnsi="Bookman Old Style" w:cs="Times New Roman"/>
          <w:color w:val="000000" w:themeColor="text1"/>
          <w:sz w:val="24"/>
          <w:szCs w:val="24"/>
        </w:rPr>
        <w:t>infraestruturais</w:t>
      </w:r>
      <w:proofErr w:type="spellEnd"/>
      <w:r w:rsidR="00FC386E">
        <w:rPr>
          <w:rFonts w:ascii="Bookman Old Style" w:hAnsi="Bookman Old Style" w:cs="Times New Roman"/>
          <w:color w:val="000000" w:themeColor="text1"/>
          <w:sz w:val="24"/>
          <w:szCs w:val="24"/>
        </w:rPr>
        <w:t xml:space="preserve"> na Educação Infantil, para</w:t>
      </w:r>
      <w:proofErr w:type="gramStart"/>
      <w:r w:rsidR="00FC386E">
        <w:rPr>
          <w:rFonts w:ascii="Bookman Old Style" w:hAnsi="Bookman Old Style" w:cs="Times New Roman"/>
          <w:color w:val="000000" w:themeColor="text1"/>
          <w:sz w:val="24"/>
          <w:szCs w:val="24"/>
        </w:rPr>
        <w:t xml:space="preserve"> sobretudo</w:t>
      </w:r>
      <w:proofErr w:type="gramEnd"/>
      <w:r w:rsidR="00FC386E">
        <w:rPr>
          <w:rFonts w:ascii="Bookman Old Style" w:hAnsi="Bookman Old Style" w:cs="Times New Roman"/>
          <w:color w:val="000000" w:themeColor="text1"/>
          <w:sz w:val="24"/>
          <w:szCs w:val="24"/>
        </w:rPr>
        <w:t xml:space="preserve"> podermos elevar a oferta da mesma à população, prioritariamente na faixa etária dos zero (0) aos dois (02) anos. Isto porque o Educandário Escola Municipal de Educação Infantil Monteiro Lobato, não tem condições de receber esta faixa etária, sendo somente autorizada pelo Conselho de Educação a ofertar vagas dos três (03) aos cinco (05) anos. </w:t>
      </w:r>
    </w:p>
    <w:p w:rsidR="00FC386E" w:rsidRDefault="00FC386E" w:rsidP="00436809">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Há também as metas e consequentemente suas estratégias que não foram alcançadas, devido à ausência de conforme definidos nos seus escopos; do firmamento de parcerias com o Governo Federal via MEC (Ministério da Educação)</w:t>
      </w:r>
      <w:r w:rsidR="001F01FA">
        <w:rPr>
          <w:rFonts w:ascii="Bookman Old Style" w:hAnsi="Bookman Old Style" w:cs="Times New Roman"/>
          <w:color w:val="000000" w:themeColor="text1"/>
          <w:sz w:val="24"/>
          <w:szCs w:val="24"/>
        </w:rPr>
        <w:t xml:space="preserve"> e Estado do Rio Grande do Sul</w:t>
      </w:r>
      <w:r>
        <w:rPr>
          <w:rFonts w:ascii="Bookman Old Style" w:hAnsi="Bookman Old Style" w:cs="Times New Roman"/>
          <w:color w:val="000000" w:themeColor="text1"/>
          <w:sz w:val="24"/>
          <w:szCs w:val="24"/>
        </w:rPr>
        <w:t xml:space="preserve">. Recomenda-se então a averiguação destas prerrogativas a fim de cumprir com o pactuado. Entretanto isto depende de processos que em muitos casos fogem da esfera administrativa e de gestão do Município. </w:t>
      </w:r>
    </w:p>
    <w:p w:rsidR="00FC386E" w:rsidRDefault="00FC386E" w:rsidP="00436809">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Denota-se também a </w:t>
      </w:r>
      <w:r w:rsidR="00D16E47">
        <w:rPr>
          <w:rFonts w:ascii="Bookman Old Style" w:hAnsi="Bookman Old Style" w:cs="Times New Roman"/>
          <w:color w:val="000000" w:themeColor="text1"/>
          <w:sz w:val="24"/>
          <w:szCs w:val="24"/>
        </w:rPr>
        <w:t>relevância</w:t>
      </w:r>
      <w:r>
        <w:rPr>
          <w:rFonts w:ascii="Bookman Old Style" w:hAnsi="Bookman Old Style" w:cs="Times New Roman"/>
          <w:color w:val="000000" w:themeColor="text1"/>
          <w:sz w:val="24"/>
          <w:szCs w:val="24"/>
        </w:rPr>
        <w:t xml:space="preserve"> de levantamento e/ou busca ativa da populaç</w:t>
      </w:r>
      <w:r w:rsidR="00D16E47">
        <w:rPr>
          <w:rFonts w:ascii="Bookman Old Style" w:hAnsi="Bookman Old Style" w:cs="Times New Roman"/>
          <w:color w:val="000000" w:themeColor="text1"/>
          <w:sz w:val="24"/>
          <w:szCs w:val="24"/>
        </w:rPr>
        <w:t xml:space="preserve">ão que necessita de escolarização, com vistas a reduzir as taxas de analfabetismo funcional e </w:t>
      </w:r>
      <w:proofErr w:type="gramStart"/>
      <w:r w:rsidR="00D16E47">
        <w:rPr>
          <w:rFonts w:ascii="Bookman Old Style" w:hAnsi="Bookman Old Style" w:cs="Times New Roman"/>
          <w:color w:val="000000" w:themeColor="text1"/>
          <w:sz w:val="24"/>
          <w:szCs w:val="24"/>
        </w:rPr>
        <w:t>sub-escolarização</w:t>
      </w:r>
      <w:proofErr w:type="gramEnd"/>
      <w:r w:rsidR="00D16E47">
        <w:rPr>
          <w:rFonts w:ascii="Bookman Old Style" w:hAnsi="Bookman Old Style" w:cs="Times New Roman"/>
          <w:color w:val="000000" w:themeColor="text1"/>
          <w:sz w:val="24"/>
          <w:szCs w:val="24"/>
        </w:rPr>
        <w:t>, podendo ser implantado o EJA (Educação de Jovens e Adulto</w:t>
      </w:r>
      <w:r w:rsidR="000B706C">
        <w:rPr>
          <w:rFonts w:ascii="Bookman Old Style" w:hAnsi="Bookman Old Style" w:cs="Times New Roman"/>
          <w:color w:val="000000" w:themeColor="text1"/>
          <w:sz w:val="24"/>
          <w:szCs w:val="24"/>
        </w:rPr>
        <w:t>s) em parceria com o Estado. Há índices abaixo do pactuado no que diz respeito ao IDEB nos anos finais do Ensino Fundamental dos alunos do Município, necessitando de projetos e práticas pedagógicas que objetem elevar estes números nas próximas avaliações.</w:t>
      </w:r>
    </w:p>
    <w:p w:rsidR="00AA40E5" w:rsidRDefault="00AA40E5" w:rsidP="00436809">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Conforme consta no escopo deste relatório, sugerimos às alterações de metas e estratégias, a serem integradas ao PME, e que se aprovadas pela Plenária da Audiência Pública, serão apreciadas pelo Legislativo e incluídas na Lei do PME.</w:t>
      </w:r>
    </w:p>
    <w:p w:rsidR="000B706C" w:rsidRDefault="00AA40E5" w:rsidP="00436809">
      <w:pPr>
        <w:ind w:firstLine="567"/>
        <w:jc w:val="both"/>
        <w:rPr>
          <w:rFonts w:ascii="Bookman Old Style" w:hAnsi="Bookman Old Style" w:cs="Times New Roman"/>
          <w:color w:val="000000" w:themeColor="text1"/>
          <w:sz w:val="24"/>
          <w:szCs w:val="24"/>
        </w:rPr>
      </w:pPr>
      <w:r>
        <w:rPr>
          <w:rFonts w:ascii="Bookman Old Style" w:hAnsi="Bookman Old Style" w:cs="Times New Roman"/>
          <w:color w:val="000000" w:themeColor="text1"/>
          <w:sz w:val="24"/>
          <w:szCs w:val="24"/>
        </w:rPr>
        <w:t xml:space="preserve">Diante do exposto e tendo ciência dos números apresentados, podemos inferir em caráter conclusivo, que a execução até o momento do PME de Paulo Bento, encontra-se em andamento objetivando atingir as metas pactuadas. </w:t>
      </w:r>
    </w:p>
    <w:p w:rsidR="00AA40E5" w:rsidRDefault="00AA40E5" w:rsidP="00436809">
      <w:pPr>
        <w:ind w:firstLine="567"/>
        <w:jc w:val="both"/>
        <w:rPr>
          <w:rFonts w:ascii="Bookman Old Style" w:hAnsi="Bookman Old Style" w:cs="Times New Roman"/>
          <w:color w:val="000000" w:themeColor="text1"/>
          <w:sz w:val="24"/>
          <w:szCs w:val="24"/>
        </w:rPr>
      </w:pPr>
    </w:p>
    <w:p w:rsidR="00AA40E5" w:rsidRDefault="00AA40E5" w:rsidP="00436809">
      <w:pPr>
        <w:ind w:firstLine="567"/>
        <w:jc w:val="both"/>
        <w:rPr>
          <w:rFonts w:ascii="Bookman Old Style" w:hAnsi="Bookman Old Style" w:cs="Times New Roman"/>
          <w:color w:val="000000" w:themeColor="text1"/>
          <w:sz w:val="24"/>
          <w:szCs w:val="24"/>
        </w:rPr>
      </w:pPr>
    </w:p>
    <w:p w:rsidR="004F42A9" w:rsidRDefault="00436809" w:rsidP="00436809">
      <w:pPr>
        <w:pStyle w:val="Ttulo2"/>
        <w:rPr>
          <w:rFonts w:ascii="Bookman Old Style" w:hAnsi="Bookman Old Style"/>
          <w:color w:val="auto"/>
        </w:rPr>
      </w:pPr>
      <w:bookmarkStart w:id="25" w:name="_Toc497809491"/>
      <w:r w:rsidRPr="00436809">
        <w:rPr>
          <w:rFonts w:ascii="Bookman Old Style" w:hAnsi="Bookman Old Style"/>
          <w:color w:val="auto"/>
        </w:rPr>
        <w:lastRenderedPageBreak/>
        <w:t>Nota Técnica:</w:t>
      </w:r>
      <w:bookmarkEnd w:id="25"/>
    </w:p>
    <w:p w:rsidR="00AA40E5" w:rsidRPr="00AA40E5" w:rsidRDefault="00AA40E5" w:rsidP="00AA40E5"/>
    <w:p w:rsidR="00436809" w:rsidRDefault="00AA40E5" w:rsidP="00436809">
      <w:pPr>
        <w:rPr>
          <w:rFonts w:ascii="Bookman Old Style" w:hAnsi="Bookman Old Style" w:cs="Times New Roman"/>
          <w:b/>
          <w:color w:val="000000" w:themeColor="text1"/>
          <w:sz w:val="24"/>
          <w:szCs w:val="24"/>
        </w:rPr>
      </w:pPr>
      <w:r w:rsidRPr="00AA40E5">
        <w:rPr>
          <w:rFonts w:ascii="Bookman Old Style" w:hAnsi="Bookman Old Style" w:cs="Times New Roman"/>
          <w:b/>
          <w:color w:val="000000" w:themeColor="text1"/>
          <w:sz w:val="24"/>
          <w:szCs w:val="24"/>
        </w:rPr>
        <w:drawing>
          <wp:inline distT="0" distB="0" distL="0" distR="0">
            <wp:extent cx="4880213" cy="6848475"/>
            <wp:effectExtent l="19050" t="0" r="0" b="0"/>
            <wp:docPr id="21" name="Imagem 0" descr="img9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1.tif"/>
                    <pic:cNvPicPr/>
                  </pic:nvPicPr>
                  <pic:blipFill>
                    <a:blip r:embed="rId27" cstate="print"/>
                    <a:stretch>
                      <a:fillRect/>
                    </a:stretch>
                  </pic:blipFill>
                  <pic:spPr>
                    <a:xfrm>
                      <a:off x="0" y="0"/>
                      <a:ext cx="4880213" cy="6848475"/>
                    </a:xfrm>
                    <a:prstGeom prst="rect">
                      <a:avLst/>
                    </a:prstGeom>
                  </pic:spPr>
                </pic:pic>
              </a:graphicData>
            </a:graphic>
          </wp:inline>
        </w:drawing>
      </w:r>
    </w:p>
    <w:p w:rsidR="00AA40E5" w:rsidRDefault="00AA40E5" w:rsidP="00436809">
      <w:pPr>
        <w:rPr>
          <w:rFonts w:ascii="Bookman Old Style" w:hAnsi="Bookman Old Style" w:cs="Times New Roman"/>
          <w:b/>
          <w:color w:val="000000" w:themeColor="text1"/>
          <w:sz w:val="24"/>
          <w:szCs w:val="24"/>
        </w:rPr>
      </w:pPr>
      <w:r w:rsidRPr="00AA40E5">
        <w:rPr>
          <w:rFonts w:ascii="Bookman Old Style" w:hAnsi="Bookman Old Style" w:cs="Times New Roman"/>
          <w:b/>
          <w:color w:val="000000" w:themeColor="text1"/>
          <w:sz w:val="24"/>
          <w:szCs w:val="24"/>
        </w:rPr>
        <w:lastRenderedPageBreak/>
        <w:drawing>
          <wp:inline distT="0" distB="0" distL="0" distR="0">
            <wp:extent cx="5177676" cy="7219950"/>
            <wp:effectExtent l="19050" t="0" r="3924" b="0"/>
            <wp:docPr id="22" name="Imagem 1" descr="img9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2.tif"/>
                    <pic:cNvPicPr/>
                  </pic:nvPicPr>
                  <pic:blipFill>
                    <a:blip r:embed="rId28" cstate="print"/>
                    <a:stretch>
                      <a:fillRect/>
                    </a:stretch>
                  </pic:blipFill>
                  <pic:spPr>
                    <a:xfrm>
                      <a:off x="0" y="0"/>
                      <a:ext cx="5180386" cy="7223729"/>
                    </a:xfrm>
                    <a:prstGeom prst="rect">
                      <a:avLst/>
                    </a:prstGeom>
                  </pic:spPr>
                </pic:pic>
              </a:graphicData>
            </a:graphic>
          </wp:inline>
        </w:drawing>
      </w:r>
    </w:p>
    <w:sectPr w:rsidR="00AA40E5" w:rsidSect="00D049A9">
      <w:headerReference w:type="default" r:id="rId29"/>
      <w:footerReference w:type="default" r:id="rId30"/>
      <w:pgSz w:w="11906" w:h="16838"/>
      <w:pgMar w:top="3232" w:right="1274" w:bottom="1135" w:left="1699"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E47" w:rsidRDefault="00D16E47" w:rsidP="001263D9">
      <w:pPr>
        <w:spacing w:after="0" w:line="240" w:lineRule="auto"/>
      </w:pPr>
      <w:r>
        <w:separator/>
      </w:r>
    </w:p>
  </w:endnote>
  <w:endnote w:type="continuationSeparator" w:id="1">
    <w:p w:rsidR="00D16E47" w:rsidRDefault="00D16E47" w:rsidP="001263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033"/>
      <w:gridCol w:w="1082"/>
      <w:gridCol w:w="4034"/>
    </w:tblGrid>
    <w:tr w:rsidR="00D16E47">
      <w:trPr>
        <w:trHeight w:val="151"/>
      </w:trPr>
      <w:tc>
        <w:tcPr>
          <w:tcW w:w="2250" w:type="pct"/>
          <w:tcBorders>
            <w:bottom w:val="single" w:sz="4" w:space="0" w:color="4F81BD" w:themeColor="accent1"/>
          </w:tcBorders>
        </w:tcPr>
        <w:p w:rsidR="00D16E47" w:rsidRPr="006158ED" w:rsidRDefault="00D16E47">
          <w:pPr>
            <w:pStyle w:val="Cabealho"/>
            <w:rPr>
              <w:rFonts w:asciiTheme="majorHAnsi" w:eastAsiaTheme="majorEastAsia" w:hAnsiTheme="majorHAnsi" w:cstheme="majorBidi"/>
              <w:b/>
              <w:bCs/>
              <w:sz w:val="18"/>
              <w:szCs w:val="18"/>
            </w:rPr>
          </w:pPr>
        </w:p>
      </w:tc>
      <w:tc>
        <w:tcPr>
          <w:tcW w:w="500" w:type="pct"/>
          <w:vMerge w:val="restart"/>
          <w:noWrap/>
          <w:vAlign w:val="center"/>
        </w:tcPr>
        <w:p w:rsidR="00D16E47" w:rsidRDefault="00D16E47">
          <w:pPr>
            <w:pStyle w:val="SemEspaamento"/>
            <w:rPr>
              <w:rFonts w:asciiTheme="majorHAnsi" w:hAnsiTheme="majorHAnsi"/>
            </w:rPr>
          </w:pPr>
          <w:r>
            <w:rPr>
              <w:rFonts w:asciiTheme="majorHAnsi" w:hAnsiTheme="majorHAnsi"/>
              <w:b/>
            </w:rPr>
            <w:t xml:space="preserve">Página </w:t>
          </w:r>
          <w:fldSimple w:instr=" PAGE  \* MERGEFORMAT ">
            <w:r w:rsidR="00AF08ED" w:rsidRPr="00AF08ED">
              <w:rPr>
                <w:rFonts w:asciiTheme="majorHAnsi" w:hAnsiTheme="majorHAnsi"/>
                <w:b/>
                <w:noProof/>
              </w:rPr>
              <w:t>102</w:t>
            </w:r>
          </w:fldSimple>
        </w:p>
      </w:tc>
      <w:tc>
        <w:tcPr>
          <w:tcW w:w="2250" w:type="pct"/>
          <w:tcBorders>
            <w:bottom w:val="single" w:sz="4" w:space="0" w:color="4F81BD" w:themeColor="accent1"/>
          </w:tcBorders>
        </w:tcPr>
        <w:p w:rsidR="00D16E47" w:rsidRDefault="00D16E47">
          <w:pPr>
            <w:pStyle w:val="Cabealho"/>
            <w:rPr>
              <w:rFonts w:asciiTheme="majorHAnsi" w:eastAsiaTheme="majorEastAsia" w:hAnsiTheme="majorHAnsi" w:cstheme="majorBidi"/>
              <w:b/>
              <w:bCs/>
            </w:rPr>
          </w:pPr>
        </w:p>
      </w:tc>
    </w:tr>
    <w:tr w:rsidR="00D16E47">
      <w:trPr>
        <w:trHeight w:val="150"/>
      </w:trPr>
      <w:tc>
        <w:tcPr>
          <w:tcW w:w="2250" w:type="pct"/>
          <w:tcBorders>
            <w:top w:val="single" w:sz="4" w:space="0" w:color="4F81BD" w:themeColor="accent1"/>
          </w:tcBorders>
        </w:tcPr>
        <w:p w:rsidR="00D16E47" w:rsidRDefault="00D16E47">
          <w:pPr>
            <w:pStyle w:val="Cabealho"/>
            <w:rPr>
              <w:rFonts w:asciiTheme="majorHAnsi" w:eastAsiaTheme="majorEastAsia" w:hAnsiTheme="majorHAnsi" w:cstheme="majorBidi"/>
              <w:b/>
              <w:bCs/>
            </w:rPr>
          </w:pPr>
        </w:p>
      </w:tc>
      <w:tc>
        <w:tcPr>
          <w:tcW w:w="500" w:type="pct"/>
          <w:vMerge/>
        </w:tcPr>
        <w:p w:rsidR="00D16E47" w:rsidRDefault="00D16E47">
          <w:pPr>
            <w:pStyle w:val="Cabealho"/>
            <w:jc w:val="center"/>
            <w:rPr>
              <w:rFonts w:asciiTheme="majorHAnsi" w:eastAsiaTheme="majorEastAsia" w:hAnsiTheme="majorHAnsi" w:cstheme="majorBidi"/>
              <w:b/>
              <w:bCs/>
            </w:rPr>
          </w:pPr>
        </w:p>
      </w:tc>
      <w:tc>
        <w:tcPr>
          <w:tcW w:w="2250" w:type="pct"/>
          <w:tcBorders>
            <w:top w:val="single" w:sz="4" w:space="0" w:color="4F81BD" w:themeColor="accent1"/>
          </w:tcBorders>
        </w:tcPr>
        <w:p w:rsidR="00D16E47" w:rsidRDefault="00D16E47" w:rsidP="00A40A3E">
          <w:pPr>
            <w:pStyle w:val="Cabealho"/>
            <w:jc w:val="right"/>
            <w:rPr>
              <w:rFonts w:asciiTheme="majorHAnsi" w:eastAsiaTheme="majorEastAsia" w:hAnsiTheme="majorHAnsi" w:cstheme="majorBidi"/>
              <w:b/>
              <w:bCs/>
              <w:sz w:val="18"/>
              <w:szCs w:val="18"/>
            </w:rPr>
          </w:pPr>
          <w:r w:rsidRPr="006158ED">
            <w:rPr>
              <w:rFonts w:asciiTheme="majorHAnsi" w:eastAsiaTheme="majorEastAsia" w:hAnsiTheme="majorHAnsi" w:cstheme="majorBidi"/>
              <w:b/>
              <w:bCs/>
              <w:sz w:val="18"/>
              <w:szCs w:val="18"/>
            </w:rPr>
            <w:t>Plano Municipal de Educação</w:t>
          </w:r>
        </w:p>
        <w:p w:rsidR="00D16E47" w:rsidRDefault="00D16E47" w:rsidP="000144C3">
          <w:pPr>
            <w:pStyle w:val="Cabealho"/>
            <w:jc w:val="right"/>
            <w:rPr>
              <w:rFonts w:asciiTheme="majorHAnsi" w:eastAsiaTheme="majorEastAsia" w:hAnsiTheme="majorHAnsi" w:cstheme="majorBidi"/>
              <w:b/>
              <w:bCs/>
            </w:rPr>
          </w:pPr>
          <w:r>
            <w:rPr>
              <w:rFonts w:asciiTheme="majorHAnsi" w:eastAsiaTheme="majorEastAsia" w:hAnsiTheme="majorHAnsi" w:cstheme="majorBidi"/>
              <w:b/>
              <w:bCs/>
              <w:sz w:val="18"/>
              <w:szCs w:val="18"/>
            </w:rPr>
            <w:t>Relatório de Avaliação</w:t>
          </w:r>
        </w:p>
      </w:tc>
    </w:tr>
  </w:tbl>
  <w:p w:rsidR="00D16E47" w:rsidRDefault="00D16E4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E47" w:rsidRDefault="00D16E47" w:rsidP="001263D9">
      <w:pPr>
        <w:spacing w:after="0" w:line="240" w:lineRule="auto"/>
      </w:pPr>
      <w:r>
        <w:separator/>
      </w:r>
    </w:p>
  </w:footnote>
  <w:footnote w:type="continuationSeparator" w:id="1">
    <w:p w:rsidR="00D16E47" w:rsidRDefault="00D16E47" w:rsidP="001263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E47" w:rsidRDefault="00D16E47">
    <w:pPr>
      <w:pStyle w:val="Cabealho"/>
    </w:pPr>
    <w:r>
      <w:rPr>
        <w:noProof/>
        <w:lang w:eastAsia="pt-BR"/>
      </w:rPr>
      <w:drawing>
        <wp:anchor distT="0" distB="0" distL="114300" distR="114300" simplePos="0" relativeHeight="251658240" behindDoc="1" locked="0" layoutInCell="1" allowOverlap="1">
          <wp:simplePos x="0" y="0"/>
          <wp:positionH relativeFrom="column">
            <wp:posOffset>2159635</wp:posOffset>
          </wp:positionH>
          <wp:positionV relativeFrom="paragraph">
            <wp:posOffset>-172720</wp:posOffset>
          </wp:positionV>
          <wp:extent cx="1047750" cy="1314450"/>
          <wp:effectExtent l="19050" t="0" r="0" b="0"/>
          <wp:wrapTight wrapText="bothSides">
            <wp:wrapPolygon edited="0">
              <wp:start x="-393" y="0"/>
              <wp:lineTo x="-393" y="21287"/>
              <wp:lineTo x="21600" y="21287"/>
              <wp:lineTo x="21600" y="0"/>
              <wp:lineTo x="-393" y="0"/>
            </wp:wrapPolygon>
          </wp:wrapTight>
          <wp:docPr id="2" name="Imagem 1" descr="Brasao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 P.jpg"/>
                  <pic:cNvPicPr/>
                </pic:nvPicPr>
                <pic:blipFill>
                  <a:blip r:embed="rId1"/>
                  <a:stretch>
                    <a:fillRect/>
                  </a:stretch>
                </pic:blipFill>
                <pic:spPr>
                  <a:xfrm>
                    <a:off x="0" y="0"/>
                    <a:ext cx="1047750" cy="1314450"/>
                  </a:xfrm>
                  <a:prstGeom prst="rect">
                    <a:avLst/>
                  </a:prstGeom>
                </pic:spPr>
              </pic:pic>
            </a:graphicData>
          </a:graphic>
        </wp:anchor>
      </w:drawing>
    </w:r>
  </w:p>
  <w:p w:rsidR="00D16E47" w:rsidRDefault="00D16E47" w:rsidP="00C5469D">
    <w:pPr>
      <w:pStyle w:val="Cabealho"/>
      <w:jc w:val="center"/>
    </w:pPr>
    <w:r>
      <w:rPr>
        <w:noProof/>
        <w:lang w:eastAsia="pt-BR"/>
      </w:rPr>
      <w:drawing>
        <wp:anchor distT="0" distB="0" distL="114300" distR="114300" simplePos="0" relativeHeight="251659264" behindDoc="1" locked="0" layoutInCell="1" allowOverlap="1">
          <wp:simplePos x="0" y="0"/>
          <wp:positionH relativeFrom="column">
            <wp:posOffset>4069624</wp:posOffset>
          </wp:positionH>
          <wp:positionV relativeFrom="paragraph">
            <wp:posOffset>19050</wp:posOffset>
          </wp:positionV>
          <wp:extent cx="1804761" cy="657225"/>
          <wp:effectExtent l="19050" t="0" r="4989" b="0"/>
          <wp:wrapNone/>
          <wp:docPr id="4" name="Imagem 2" descr="logo para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site.png"/>
                  <pic:cNvPicPr/>
                </pic:nvPicPr>
                <pic:blipFill>
                  <a:blip r:embed="rId2"/>
                  <a:stretch>
                    <a:fillRect/>
                  </a:stretch>
                </pic:blipFill>
                <pic:spPr>
                  <a:xfrm>
                    <a:off x="0" y="0"/>
                    <a:ext cx="1804761" cy="657225"/>
                  </a:xfrm>
                  <a:prstGeom prst="rect">
                    <a:avLst/>
                  </a:prstGeom>
                </pic:spPr>
              </pic:pic>
            </a:graphicData>
          </a:graphic>
        </wp:anchor>
      </w:drawing>
    </w:r>
  </w:p>
  <w:p w:rsidR="00D16E47" w:rsidRDefault="00D16E47" w:rsidP="00C5469D">
    <w:pPr>
      <w:pStyle w:val="Cabealho"/>
      <w:jc w:val="center"/>
    </w:pPr>
  </w:p>
  <w:p w:rsidR="00D16E47" w:rsidRDefault="00D16E47" w:rsidP="00C5469D">
    <w:pPr>
      <w:pStyle w:val="Cabealho"/>
      <w:jc w:val="center"/>
    </w:pPr>
  </w:p>
  <w:p w:rsidR="00D16E47" w:rsidRDefault="00D16E47" w:rsidP="00C5469D">
    <w:pPr>
      <w:pStyle w:val="Cabealho"/>
      <w:jc w:val="center"/>
    </w:pPr>
  </w:p>
  <w:p w:rsidR="00D16E47" w:rsidRDefault="00D16E47" w:rsidP="00C5469D">
    <w:pPr>
      <w:pStyle w:val="Cabealho"/>
      <w:jc w:val="center"/>
    </w:pPr>
  </w:p>
  <w:p w:rsidR="00D16E47" w:rsidRDefault="00D16E47" w:rsidP="00C5469D">
    <w:pPr>
      <w:pStyle w:val="Cabealho"/>
      <w:jc w:val="center"/>
    </w:pPr>
  </w:p>
  <w:p w:rsidR="00D16E47" w:rsidRPr="005B2756" w:rsidRDefault="00D16E47" w:rsidP="00C5469D">
    <w:pPr>
      <w:pStyle w:val="Cabealho"/>
      <w:jc w:val="center"/>
      <w:rPr>
        <w:rFonts w:ascii="Bookman Old Style" w:hAnsi="Bookman Old Style"/>
        <w:b/>
      </w:rPr>
    </w:pPr>
    <w:r w:rsidRPr="005B2756">
      <w:rPr>
        <w:rFonts w:ascii="Bookman Old Style" w:hAnsi="Bookman Old Style"/>
        <w:b/>
      </w:rPr>
      <w:t>ESTADO DO RIO GRANDE DO SUL</w:t>
    </w:r>
  </w:p>
  <w:p w:rsidR="00D16E47" w:rsidRPr="005B2756" w:rsidRDefault="00D16E47" w:rsidP="00C5469D">
    <w:pPr>
      <w:pStyle w:val="Cabealho"/>
      <w:jc w:val="center"/>
      <w:rPr>
        <w:rFonts w:ascii="Bookman Old Style" w:hAnsi="Bookman Old Style"/>
        <w:b/>
      </w:rPr>
    </w:pPr>
    <w:r w:rsidRPr="005B2756">
      <w:rPr>
        <w:rFonts w:ascii="Bookman Old Style" w:hAnsi="Bookman Old Style"/>
        <w:b/>
      </w:rPr>
      <w:t>MUNICÍPIO DE PAULO BENTO</w:t>
    </w:r>
  </w:p>
  <w:p w:rsidR="00D16E47" w:rsidRPr="005B2756" w:rsidRDefault="00D16E47" w:rsidP="00C5469D">
    <w:pPr>
      <w:pStyle w:val="Cabealho"/>
      <w:jc w:val="center"/>
      <w:rPr>
        <w:rFonts w:ascii="Bookman Old Style" w:hAnsi="Bookman Old Style"/>
        <w:b/>
      </w:rPr>
    </w:pPr>
    <w:r w:rsidRPr="005B2756">
      <w:rPr>
        <w:rFonts w:ascii="Bookman Old Style" w:hAnsi="Bookman Old Style"/>
        <w:b/>
      </w:rPr>
      <w:t>Secretaria Municipal de Educação, Cultura, Desporto e Turismo</w:t>
    </w:r>
  </w:p>
  <w:p w:rsidR="00D16E47" w:rsidRPr="005B2756" w:rsidRDefault="00D16E47" w:rsidP="00C5469D">
    <w:pPr>
      <w:pStyle w:val="Cabealho"/>
      <w:jc w:val="center"/>
      <w:rPr>
        <w:rFonts w:ascii="Bookman Old Style" w:hAnsi="Bookman Old Style"/>
        <w:b/>
      </w:rPr>
    </w:pPr>
    <w:r w:rsidRPr="005B2756">
      <w:rPr>
        <w:rFonts w:ascii="Bookman Old Style" w:hAnsi="Bookman Old Style"/>
        <w:b/>
      </w:rPr>
      <w:t>Conselho Municipal de Educação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390" w:hanging="390"/>
      </w:pPr>
    </w:lvl>
    <w:lvl w:ilvl="1">
      <w:start w:val="1"/>
      <w:numFmt w:val="decimal"/>
      <w:lvlText w:val="%1.%2)"/>
      <w:lvlJc w:val="left"/>
      <w:pPr>
        <w:tabs>
          <w:tab w:val="num" w:pos="0"/>
        </w:tabs>
        <w:ind w:left="390" w:hanging="39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nsid w:val="02AF1958"/>
    <w:multiLevelType w:val="hybridMultilevel"/>
    <w:tmpl w:val="DD20D08A"/>
    <w:lvl w:ilvl="0" w:tplc="CF5479A8">
      <w:start w:val="1"/>
      <w:numFmt w:val="upperRoman"/>
      <w:lvlText w:val="%1."/>
      <w:lvlJc w:val="right"/>
      <w:pPr>
        <w:ind w:left="927"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6C3683"/>
    <w:multiLevelType w:val="multilevel"/>
    <w:tmpl w:val="04102EDA"/>
    <w:lvl w:ilvl="0">
      <w:start w:val="1"/>
      <w:numFmt w:val="decimal"/>
      <w:lvlText w:val="%1."/>
      <w:lvlJc w:val="left"/>
      <w:pPr>
        <w:ind w:left="375" w:hanging="37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9901CA3"/>
    <w:multiLevelType w:val="hybridMultilevel"/>
    <w:tmpl w:val="8D547A7A"/>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nsid w:val="0D4A071D"/>
    <w:multiLevelType w:val="hybridMultilevel"/>
    <w:tmpl w:val="7C88F520"/>
    <w:lvl w:ilvl="0" w:tplc="98A432F6">
      <w:start w:val="1"/>
      <w:numFmt w:val="bullet"/>
      <w:lvlText w:val=""/>
      <w:lvlJc w:val="left"/>
      <w:pPr>
        <w:ind w:left="1080" w:hanging="360"/>
      </w:pPr>
      <w:rPr>
        <w:rFonts w:ascii="Symbol" w:hAnsi="Symbol" w:hint="default"/>
        <w:color w:val="000000" w:themeColor="text1"/>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0E800851"/>
    <w:multiLevelType w:val="hybridMultilevel"/>
    <w:tmpl w:val="6CF8DE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3C92F90"/>
    <w:multiLevelType w:val="hybridMultilevel"/>
    <w:tmpl w:val="0592FE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53A061C"/>
    <w:multiLevelType w:val="hybridMultilevel"/>
    <w:tmpl w:val="1298AE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6737A49"/>
    <w:multiLevelType w:val="hybridMultilevel"/>
    <w:tmpl w:val="27F414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0D37CDC"/>
    <w:multiLevelType w:val="hybridMultilevel"/>
    <w:tmpl w:val="EBF00250"/>
    <w:lvl w:ilvl="0" w:tplc="BEAC5AF6">
      <w:start w:val="16"/>
      <w:numFmt w:val="upperRoman"/>
      <w:lvlText w:val="%1."/>
      <w:lvlJc w:val="left"/>
      <w:pPr>
        <w:ind w:left="1080" w:hanging="720"/>
      </w:pPr>
      <w:rPr>
        <w:rFonts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3B6447"/>
    <w:multiLevelType w:val="hybridMultilevel"/>
    <w:tmpl w:val="A650DA92"/>
    <w:lvl w:ilvl="0" w:tplc="EC5AC2E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36347EB"/>
    <w:multiLevelType w:val="hybridMultilevel"/>
    <w:tmpl w:val="8AB85C2C"/>
    <w:lvl w:ilvl="0" w:tplc="A1363B2A">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717570B"/>
    <w:multiLevelType w:val="hybridMultilevel"/>
    <w:tmpl w:val="943EA11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1E30D0B"/>
    <w:multiLevelType w:val="hybridMultilevel"/>
    <w:tmpl w:val="087619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2EB1BDB"/>
    <w:multiLevelType w:val="hybridMultilevel"/>
    <w:tmpl w:val="2A22AA4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CA9660C"/>
    <w:multiLevelType w:val="multilevel"/>
    <w:tmpl w:val="49EAE244"/>
    <w:lvl w:ilvl="0">
      <w:start w:val="1"/>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EFA32CB"/>
    <w:multiLevelType w:val="hybridMultilevel"/>
    <w:tmpl w:val="C7F2054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009579F"/>
    <w:multiLevelType w:val="hybridMultilevel"/>
    <w:tmpl w:val="C7F2054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6F0194C"/>
    <w:multiLevelType w:val="hybridMultilevel"/>
    <w:tmpl w:val="C7F2054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9F508B9"/>
    <w:multiLevelType w:val="hybridMultilevel"/>
    <w:tmpl w:val="17E400E4"/>
    <w:lvl w:ilvl="0" w:tplc="710AFEE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3B63B14"/>
    <w:multiLevelType w:val="hybridMultilevel"/>
    <w:tmpl w:val="53B60570"/>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946CFC"/>
    <w:multiLevelType w:val="hybridMultilevel"/>
    <w:tmpl w:val="C608A5EE"/>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2">
    <w:nsid w:val="6082290F"/>
    <w:multiLevelType w:val="hybridMultilevel"/>
    <w:tmpl w:val="C7D8422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4C51DEB"/>
    <w:multiLevelType w:val="hybridMultilevel"/>
    <w:tmpl w:val="0C789F08"/>
    <w:lvl w:ilvl="0" w:tplc="0416000F">
      <w:start w:val="1"/>
      <w:numFmt w:val="decimal"/>
      <w:lvlText w:val="%1."/>
      <w:lvlJc w:val="left"/>
      <w:pPr>
        <w:ind w:left="785"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D551ACC"/>
    <w:multiLevelType w:val="multilevel"/>
    <w:tmpl w:val="568CB9CC"/>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0"/>
  </w:num>
  <w:num w:numId="3">
    <w:abstractNumId w:val="21"/>
  </w:num>
  <w:num w:numId="4">
    <w:abstractNumId w:val="14"/>
  </w:num>
  <w:num w:numId="5">
    <w:abstractNumId w:val="18"/>
  </w:num>
  <w:num w:numId="6">
    <w:abstractNumId w:val="16"/>
  </w:num>
  <w:num w:numId="7">
    <w:abstractNumId w:val="12"/>
  </w:num>
  <w:num w:numId="8">
    <w:abstractNumId w:val="5"/>
  </w:num>
  <w:num w:numId="9">
    <w:abstractNumId w:val="24"/>
  </w:num>
  <w:num w:numId="10">
    <w:abstractNumId w:val="15"/>
  </w:num>
  <w:num w:numId="11">
    <w:abstractNumId w:val="2"/>
  </w:num>
  <w:num w:numId="12">
    <w:abstractNumId w:val="11"/>
  </w:num>
  <w:num w:numId="13">
    <w:abstractNumId w:val="4"/>
  </w:num>
  <w:num w:numId="14">
    <w:abstractNumId w:val="3"/>
  </w:num>
  <w:num w:numId="15">
    <w:abstractNumId w:val="17"/>
  </w:num>
  <w:num w:numId="16">
    <w:abstractNumId w:val="13"/>
  </w:num>
  <w:num w:numId="17">
    <w:abstractNumId w:val="10"/>
  </w:num>
  <w:num w:numId="18">
    <w:abstractNumId w:val="20"/>
  </w:num>
  <w:num w:numId="19">
    <w:abstractNumId w:val="23"/>
  </w:num>
  <w:num w:numId="20">
    <w:abstractNumId w:val="1"/>
  </w:num>
  <w:num w:numId="21">
    <w:abstractNumId w:val="8"/>
  </w:num>
  <w:num w:numId="22">
    <w:abstractNumId w:val="22"/>
  </w:num>
  <w:num w:numId="23">
    <w:abstractNumId w:val="7"/>
  </w:num>
  <w:num w:numId="24">
    <w:abstractNumId w:val="19"/>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7"/>
  </w:hdrShapeDefaults>
  <w:footnotePr>
    <w:footnote w:id="0"/>
    <w:footnote w:id="1"/>
  </w:footnotePr>
  <w:endnotePr>
    <w:endnote w:id="0"/>
    <w:endnote w:id="1"/>
  </w:endnotePr>
  <w:compat/>
  <w:rsids>
    <w:rsidRoot w:val="001263D9"/>
    <w:rsid w:val="000144C3"/>
    <w:rsid w:val="00017563"/>
    <w:rsid w:val="00037811"/>
    <w:rsid w:val="000401EE"/>
    <w:rsid w:val="000438B7"/>
    <w:rsid w:val="00047456"/>
    <w:rsid w:val="000517F8"/>
    <w:rsid w:val="000563CF"/>
    <w:rsid w:val="00065667"/>
    <w:rsid w:val="000B22E0"/>
    <w:rsid w:val="000B2905"/>
    <w:rsid w:val="000B706C"/>
    <w:rsid w:val="000C0D92"/>
    <w:rsid w:val="000C317A"/>
    <w:rsid w:val="000D437B"/>
    <w:rsid w:val="000E63FD"/>
    <w:rsid w:val="001014B7"/>
    <w:rsid w:val="00101A88"/>
    <w:rsid w:val="00111109"/>
    <w:rsid w:val="0011736C"/>
    <w:rsid w:val="001263D9"/>
    <w:rsid w:val="00136148"/>
    <w:rsid w:val="001530A8"/>
    <w:rsid w:val="00176EE9"/>
    <w:rsid w:val="00192802"/>
    <w:rsid w:val="00194A40"/>
    <w:rsid w:val="0019642C"/>
    <w:rsid w:val="001A42A0"/>
    <w:rsid w:val="001A4BAC"/>
    <w:rsid w:val="001A64DA"/>
    <w:rsid w:val="001A6DCF"/>
    <w:rsid w:val="001B2946"/>
    <w:rsid w:val="001B5523"/>
    <w:rsid w:val="001C5C77"/>
    <w:rsid w:val="001D06E9"/>
    <w:rsid w:val="001E59D7"/>
    <w:rsid w:val="001F01FA"/>
    <w:rsid w:val="00216EAD"/>
    <w:rsid w:val="00227CAA"/>
    <w:rsid w:val="00237FD7"/>
    <w:rsid w:val="00242957"/>
    <w:rsid w:val="00243130"/>
    <w:rsid w:val="00250A50"/>
    <w:rsid w:val="00265B67"/>
    <w:rsid w:val="00291201"/>
    <w:rsid w:val="002A11CC"/>
    <w:rsid w:val="002B4858"/>
    <w:rsid w:val="002C0408"/>
    <w:rsid w:val="002C2490"/>
    <w:rsid w:val="002C63DC"/>
    <w:rsid w:val="002D3310"/>
    <w:rsid w:val="002D3342"/>
    <w:rsid w:val="002E00DD"/>
    <w:rsid w:val="002E0542"/>
    <w:rsid w:val="002E51D5"/>
    <w:rsid w:val="002E7E36"/>
    <w:rsid w:val="002F2868"/>
    <w:rsid w:val="002F395B"/>
    <w:rsid w:val="002F68E4"/>
    <w:rsid w:val="003145C4"/>
    <w:rsid w:val="00326A09"/>
    <w:rsid w:val="003562A1"/>
    <w:rsid w:val="00357B82"/>
    <w:rsid w:val="003660D9"/>
    <w:rsid w:val="00385689"/>
    <w:rsid w:val="00387980"/>
    <w:rsid w:val="003A1FA6"/>
    <w:rsid w:val="003B4439"/>
    <w:rsid w:val="003B47B2"/>
    <w:rsid w:val="003B491E"/>
    <w:rsid w:val="003D631E"/>
    <w:rsid w:val="003E225A"/>
    <w:rsid w:val="003E2423"/>
    <w:rsid w:val="00402223"/>
    <w:rsid w:val="00403C49"/>
    <w:rsid w:val="00426D6B"/>
    <w:rsid w:val="00427819"/>
    <w:rsid w:val="0043029C"/>
    <w:rsid w:val="00436809"/>
    <w:rsid w:val="0043681E"/>
    <w:rsid w:val="00437B62"/>
    <w:rsid w:val="004507BB"/>
    <w:rsid w:val="0045121B"/>
    <w:rsid w:val="0046092F"/>
    <w:rsid w:val="004771B6"/>
    <w:rsid w:val="004856FF"/>
    <w:rsid w:val="0048582D"/>
    <w:rsid w:val="00485849"/>
    <w:rsid w:val="004862FC"/>
    <w:rsid w:val="0049069B"/>
    <w:rsid w:val="00490E4D"/>
    <w:rsid w:val="00491338"/>
    <w:rsid w:val="0049664E"/>
    <w:rsid w:val="004A253B"/>
    <w:rsid w:val="004B3EA2"/>
    <w:rsid w:val="004B40BB"/>
    <w:rsid w:val="004C1696"/>
    <w:rsid w:val="004C376B"/>
    <w:rsid w:val="004F42A9"/>
    <w:rsid w:val="00505DE3"/>
    <w:rsid w:val="005072D8"/>
    <w:rsid w:val="005212BD"/>
    <w:rsid w:val="00532F88"/>
    <w:rsid w:val="00536029"/>
    <w:rsid w:val="00540B0B"/>
    <w:rsid w:val="00545986"/>
    <w:rsid w:val="005506E2"/>
    <w:rsid w:val="00550926"/>
    <w:rsid w:val="0055526D"/>
    <w:rsid w:val="00563857"/>
    <w:rsid w:val="00573077"/>
    <w:rsid w:val="00580EF0"/>
    <w:rsid w:val="0059114E"/>
    <w:rsid w:val="005B2117"/>
    <w:rsid w:val="005B2756"/>
    <w:rsid w:val="005D409F"/>
    <w:rsid w:val="005D63CB"/>
    <w:rsid w:val="005E0F23"/>
    <w:rsid w:val="005E1188"/>
    <w:rsid w:val="005E1241"/>
    <w:rsid w:val="005E17EB"/>
    <w:rsid w:val="005E4D0B"/>
    <w:rsid w:val="005F5260"/>
    <w:rsid w:val="006008F9"/>
    <w:rsid w:val="00604E8D"/>
    <w:rsid w:val="00612C62"/>
    <w:rsid w:val="0061498E"/>
    <w:rsid w:val="006158ED"/>
    <w:rsid w:val="0063056F"/>
    <w:rsid w:val="0063177C"/>
    <w:rsid w:val="00635C32"/>
    <w:rsid w:val="00636CFB"/>
    <w:rsid w:val="006504B9"/>
    <w:rsid w:val="00650CD0"/>
    <w:rsid w:val="00661633"/>
    <w:rsid w:val="00666FDE"/>
    <w:rsid w:val="006701B4"/>
    <w:rsid w:val="00670DB9"/>
    <w:rsid w:val="006809C7"/>
    <w:rsid w:val="006A1725"/>
    <w:rsid w:val="006A7252"/>
    <w:rsid w:val="006B68B5"/>
    <w:rsid w:val="006D7D62"/>
    <w:rsid w:val="006F0E49"/>
    <w:rsid w:val="006F49D7"/>
    <w:rsid w:val="006F6CB5"/>
    <w:rsid w:val="00704102"/>
    <w:rsid w:val="00715B35"/>
    <w:rsid w:val="00717B6B"/>
    <w:rsid w:val="00723B8A"/>
    <w:rsid w:val="00733837"/>
    <w:rsid w:val="0073589E"/>
    <w:rsid w:val="007544A0"/>
    <w:rsid w:val="007620FC"/>
    <w:rsid w:val="00772616"/>
    <w:rsid w:val="00781512"/>
    <w:rsid w:val="00785365"/>
    <w:rsid w:val="00787203"/>
    <w:rsid w:val="007872CE"/>
    <w:rsid w:val="00787D51"/>
    <w:rsid w:val="007917EE"/>
    <w:rsid w:val="007A2B01"/>
    <w:rsid w:val="007A5C11"/>
    <w:rsid w:val="007A72B3"/>
    <w:rsid w:val="007A7F04"/>
    <w:rsid w:val="007C4BA9"/>
    <w:rsid w:val="007C6C64"/>
    <w:rsid w:val="007D1A06"/>
    <w:rsid w:val="007D7A60"/>
    <w:rsid w:val="007F394F"/>
    <w:rsid w:val="007F3A65"/>
    <w:rsid w:val="007F4DE9"/>
    <w:rsid w:val="00801718"/>
    <w:rsid w:val="00831BC9"/>
    <w:rsid w:val="00852249"/>
    <w:rsid w:val="0085470F"/>
    <w:rsid w:val="00856B06"/>
    <w:rsid w:val="00857F59"/>
    <w:rsid w:val="00862A24"/>
    <w:rsid w:val="008763A1"/>
    <w:rsid w:val="00883219"/>
    <w:rsid w:val="00887987"/>
    <w:rsid w:val="008A027E"/>
    <w:rsid w:val="008A10C9"/>
    <w:rsid w:val="008A6ED2"/>
    <w:rsid w:val="008A71D1"/>
    <w:rsid w:val="008C0326"/>
    <w:rsid w:val="008C7A95"/>
    <w:rsid w:val="008D4C9E"/>
    <w:rsid w:val="008F1C3D"/>
    <w:rsid w:val="009063AC"/>
    <w:rsid w:val="009164CB"/>
    <w:rsid w:val="009220D1"/>
    <w:rsid w:val="0093091E"/>
    <w:rsid w:val="00931328"/>
    <w:rsid w:val="00933C6F"/>
    <w:rsid w:val="00935F94"/>
    <w:rsid w:val="00940DD3"/>
    <w:rsid w:val="00951285"/>
    <w:rsid w:val="00953250"/>
    <w:rsid w:val="00967DD4"/>
    <w:rsid w:val="00987CE2"/>
    <w:rsid w:val="00987E63"/>
    <w:rsid w:val="009E72A8"/>
    <w:rsid w:val="009F0662"/>
    <w:rsid w:val="009F3810"/>
    <w:rsid w:val="009F449B"/>
    <w:rsid w:val="00A02FF5"/>
    <w:rsid w:val="00A07411"/>
    <w:rsid w:val="00A111AC"/>
    <w:rsid w:val="00A158C9"/>
    <w:rsid w:val="00A2533E"/>
    <w:rsid w:val="00A27DC0"/>
    <w:rsid w:val="00A30831"/>
    <w:rsid w:val="00A347B6"/>
    <w:rsid w:val="00A40729"/>
    <w:rsid w:val="00A40A3E"/>
    <w:rsid w:val="00A553F7"/>
    <w:rsid w:val="00A70B75"/>
    <w:rsid w:val="00A847BA"/>
    <w:rsid w:val="00AA2FAB"/>
    <w:rsid w:val="00AA40E5"/>
    <w:rsid w:val="00AB4DFB"/>
    <w:rsid w:val="00AB554A"/>
    <w:rsid w:val="00AC47E0"/>
    <w:rsid w:val="00AC4D45"/>
    <w:rsid w:val="00AC7EF4"/>
    <w:rsid w:val="00AD22CF"/>
    <w:rsid w:val="00AD778D"/>
    <w:rsid w:val="00AE004B"/>
    <w:rsid w:val="00AE0A3A"/>
    <w:rsid w:val="00AE3CE3"/>
    <w:rsid w:val="00AE775E"/>
    <w:rsid w:val="00AF08ED"/>
    <w:rsid w:val="00AF172A"/>
    <w:rsid w:val="00AF2347"/>
    <w:rsid w:val="00AF290D"/>
    <w:rsid w:val="00B014B7"/>
    <w:rsid w:val="00B07A42"/>
    <w:rsid w:val="00B14CDB"/>
    <w:rsid w:val="00B20600"/>
    <w:rsid w:val="00B2088A"/>
    <w:rsid w:val="00B27764"/>
    <w:rsid w:val="00B3094D"/>
    <w:rsid w:val="00B405E3"/>
    <w:rsid w:val="00B43011"/>
    <w:rsid w:val="00B44698"/>
    <w:rsid w:val="00B44DAB"/>
    <w:rsid w:val="00B45839"/>
    <w:rsid w:val="00B469BC"/>
    <w:rsid w:val="00B86C6F"/>
    <w:rsid w:val="00B90E96"/>
    <w:rsid w:val="00B97AEB"/>
    <w:rsid w:val="00BA25ED"/>
    <w:rsid w:val="00BB653D"/>
    <w:rsid w:val="00BC3332"/>
    <w:rsid w:val="00BD0C3E"/>
    <w:rsid w:val="00BD44A2"/>
    <w:rsid w:val="00BF154E"/>
    <w:rsid w:val="00C00882"/>
    <w:rsid w:val="00C00E69"/>
    <w:rsid w:val="00C01CFF"/>
    <w:rsid w:val="00C035AE"/>
    <w:rsid w:val="00C11ACC"/>
    <w:rsid w:val="00C14853"/>
    <w:rsid w:val="00C2696F"/>
    <w:rsid w:val="00C44E68"/>
    <w:rsid w:val="00C5469D"/>
    <w:rsid w:val="00C5601F"/>
    <w:rsid w:val="00C5745A"/>
    <w:rsid w:val="00C6472C"/>
    <w:rsid w:val="00C6781B"/>
    <w:rsid w:val="00C67879"/>
    <w:rsid w:val="00C76959"/>
    <w:rsid w:val="00C872A7"/>
    <w:rsid w:val="00C97EC5"/>
    <w:rsid w:val="00CB73DC"/>
    <w:rsid w:val="00CE6CB8"/>
    <w:rsid w:val="00D022A1"/>
    <w:rsid w:val="00D02307"/>
    <w:rsid w:val="00D049A9"/>
    <w:rsid w:val="00D059C9"/>
    <w:rsid w:val="00D06C0B"/>
    <w:rsid w:val="00D06D85"/>
    <w:rsid w:val="00D1144E"/>
    <w:rsid w:val="00D16E47"/>
    <w:rsid w:val="00D1733F"/>
    <w:rsid w:val="00D33D23"/>
    <w:rsid w:val="00D33FB3"/>
    <w:rsid w:val="00D3740F"/>
    <w:rsid w:val="00D43DF5"/>
    <w:rsid w:val="00D456AB"/>
    <w:rsid w:val="00D701E3"/>
    <w:rsid w:val="00D81FEF"/>
    <w:rsid w:val="00D820B4"/>
    <w:rsid w:val="00D84096"/>
    <w:rsid w:val="00DA64B3"/>
    <w:rsid w:val="00DB0C0C"/>
    <w:rsid w:val="00DF4828"/>
    <w:rsid w:val="00DF67C2"/>
    <w:rsid w:val="00DF7A82"/>
    <w:rsid w:val="00E02114"/>
    <w:rsid w:val="00E07E1D"/>
    <w:rsid w:val="00E07F39"/>
    <w:rsid w:val="00E24794"/>
    <w:rsid w:val="00E34056"/>
    <w:rsid w:val="00E4403B"/>
    <w:rsid w:val="00E527FE"/>
    <w:rsid w:val="00E56AAD"/>
    <w:rsid w:val="00E60081"/>
    <w:rsid w:val="00E723E1"/>
    <w:rsid w:val="00E846AA"/>
    <w:rsid w:val="00E84B3B"/>
    <w:rsid w:val="00E87DAB"/>
    <w:rsid w:val="00E924E0"/>
    <w:rsid w:val="00E9306C"/>
    <w:rsid w:val="00EA380A"/>
    <w:rsid w:val="00EA3CDB"/>
    <w:rsid w:val="00EA4FCE"/>
    <w:rsid w:val="00EB72D4"/>
    <w:rsid w:val="00ED0D14"/>
    <w:rsid w:val="00ED17C5"/>
    <w:rsid w:val="00ED5D71"/>
    <w:rsid w:val="00ED7A88"/>
    <w:rsid w:val="00EE1BA3"/>
    <w:rsid w:val="00EE6CFA"/>
    <w:rsid w:val="00EF2CF2"/>
    <w:rsid w:val="00F00488"/>
    <w:rsid w:val="00F01C84"/>
    <w:rsid w:val="00F12745"/>
    <w:rsid w:val="00F13526"/>
    <w:rsid w:val="00F2125F"/>
    <w:rsid w:val="00F36DDF"/>
    <w:rsid w:val="00F40528"/>
    <w:rsid w:val="00F4404A"/>
    <w:rsid w:val="00F5349D"/>
    <w:rsid w:val="00F535FE"/>
    <w:rsid w:val="00F574BE"/>
    <w:rsid w:val="00F65647"/>
    <w:rsid w:val="00F665B4"/>
    <w:rsid w:val="00F76E84"/>
    <w:rsid w:val="00F83ADB"/>
    <w:rsid w:val="00F914F4"/>
    <w:rsid w:val="00FA01EB"/>
    <w:rsid w:val="00FA1048"/>
    <w:rsid w:val="00FA57F4"/>
    <w:rsid w:val="00FA647B"/>
    <w:rsid w:val="00FB1E23"/>
    <w:rsid w:val="00FB69CC"/>
    <w:rsid w:val="00FC3746"/>
    <w:rsid w:val="00FC386E"/>
    <w:rsid w:val="00FD340B"/>
    <w:rsid w:val="00FD7E36"/>
    <w:rsid w:val="00FE3A97"/>
    <w:rsid w:val="00FF27FC"/>
    <w:rsid w:val="00FF35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C3E"/>
  </w:style>
  <w:style w:type="paragraph" w:styleId="Ttulo1">
    <w:name w:val="heading 1"/>
    <w:basedOn w:val="Normal"/>
    <w:next w:val="Normal"/>
    <w:link w:val="Ttulo1Char"/>
    <w:uiPriority w:val="9"/>
    <w:qFormat/>
    <w:rsid w:val="009512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368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63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63D9"/>
  </w:style>
  <w:style w:type="paragraph" w:styleId="Rodap">
    <w:name w:val="footer"/>
    <w:basedOn w:val="Normal"/>
    <w:link w:val="RodapChar"/>
    <w:uiPriority w:val="99"/>
    <w:unhideWhenUsed/>
    <w:rsid w:val="001263D9"/>
    <w:pPr>
      <w:tabs>
        <w:tab w:val="center" w:pos="4252"/>
        <w:tab w:val="right" w:pos="8504"/>
      </w:tabs>
      <w:spacing w:after="0" w:line="240" w:lineRule="auto"/>
    </w:pPr>
  </w:style>
  <w:style w:type="character" w:customStyle="1" w:styleId="RodapChar">
    <w:name w:val="Rodapé Char"/>
    <w:basedOn w:val="Fontepargpadro"/>
    <w:link w:val="Rodap"/>
    <w:uiPriority w:val="99"/>
    <w:rsid w:val="001263D9"/>
  </w:style>
  <w:style w:type="paragraph" w:styleId="Textodebalo">
    <w:name w:val="Balloon Text"/>
    <w:basedOn w:val="Normal"/>
    <w:link w:val="TextodebaloChar"/>
    <w:uiPriority w:val="99"/>
    <w:semiHidden/>
    <w:unhideWhenUsed/>
    <w:rsid w:val="001263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63D9"/>
    <w:rPr>
      <w:rFonts w:ascii="Tahoma" w:hAnsi="Tahoma" w:cs="Tahoma"/>
      <w:sz w:val="16"/>
      <w:szCs w:val="16"/>
    </w:rPr>
  </w:style>
  <w:style w:type="table" w:styleId="Tabelacomgrade">
    <w:name w:val="Table Grid"/>
    <w:basedOn w:val="Tabelanormal"/>
    <w:uiPriority w:val="59"/>
    <w:rsid w:val="00117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AF290D"/>
    <w:pPr>
      <w:ind w:left="720"/>
      <w:contextualSpacing/>
    </w:pPr>
  </w:style>
  <w:style w:type="paragraph" w:customStyle="1" w:styleId="Default">
    <w:name w:val="Default"/>
    <w:rsid w:val="00AF290D"/>
    <w:pPr>
      <w:autoSpaceDE w:val="0"/>
      <w:autoSpaceDN w:val="0"/>
      <w:adjustRightInd w:val="0"/>
      <w:spacing w:after="0" w:line="240" w:lineRule="auto"/>
    </w:pPr>
    <w:rPr>
      <w:rFonts w:ascii="Cambria" w:eastAsia="Calibri" w:hAnsi="Cambria" w:cs="Cambria"/>
      <w:color w:val="000000"/>
      <w:sz w:val="24"/>
      <w:szCs w:val="24"/>
    </w:rPr>
  </w:style>
  <w:style w:type="paragraph" w:customStyle="1" w:styleId="Normal1">
    <w:name w:val="Normal1"/>
    <w:rsid w:val="00AF290D"/>
    <w:pPr>
      <w:suppressAutoHyphens/>
      <w:autoSpaceDE w:val="0"/>
      <w:spacing w:after="0" w:line="240" w:lineRule="auto"/>
    </w:pPr>
    <w:rPr>
      <w:rFonts w:ascii="Arial" w:eastAsia="Times New Roman" w:hAnsi="Arial" w:cs="Arial"/>
      <w:color w:val="000000"/>
      <w:sz w:val="24"/>
      <w:szCs w:val="24"/>
      <w:lang w:eastAsia="zh-CN"/>
    </w:rPr>
  </w:style>
  <w:style w:type="paragraph" w:styleId="Textodenotaderodap">
    <w:name w:val="footnote text"/>
    <w:basedOn w:val="Normal"/>
    <w:link w:val="TextodenotaderodapChar"/>
    <w:uiPriority w:val="99"/>
    <w:semiHidden/>
    <w:unhideWhenUsed/>
    <w:rsid w:val="00FF27F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F27FC"/>
    <w:rPr>
      <w:sz w:val="20"/>
      <w:szCs w:val="20"/>
    </w:rPr>
  </w:style>
  <w:style w:type="character" w:styleId="Refdenotaderodap">
    <w:name w:val="footnote reference"/>
    <w:basedOn w:val="Fontepargpadro"/>
    <w:uiPriority w:val="99"/>
    <w:semiHidden/>
    <w:unhideWhenUsed/>
    <w:rsid w:val="00FF27FC"/>
    <w:rPr>
      <w:vertAlign w:val="superscript"/>
    </w:rPr>
  </w:style>
  <w:style w:type="character" w:styleId="Hyperlink">
    <w:name w:val="Hyperlink"/>
    <w:basedOn w:val="Fontepargpadro"/>
    <w:uiPriority w:val="99"/>
    <w:unhideWhenUsed/>
    <w:rsid w:val="009E72A8"/>
    <w:rPr>
      <w:color w:val="0000FF" w:themeColor="hyperlink"/>
      <w:u w:val="single"/>
    </w:rPr>
  </w:style>
  <w:style w:type="paragraph" w:styleId="SemEspaamento">
    <w:name w:val="No Spacing"/>
    <w:link w:val="SemEspaamentoChar"/>
    <w:uiPriority w:val="1"/>
    <w:qFormat/>
    <w:rsid w:val="006158ED"/>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6158ED"/>
    <w:rPr>
      <w:rFonts w:eastAsiaTheme="minorEastAsia"/>
    </w:rPr>
  </w:style>
  <w:style w:type="character" w:customStyle="1" w:styleId="Ttulo1Char">
    <w:name w:val="Título 1 Char"/>
    <w:basedOn w:val="Fontepargpadro"/>
    <w:link w:val="Ttulo1"/>
    <w:uiPriority w:val="9"/>
    <w:rsid w:val="00951285"/>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436809"/>
    <w:rPr>
      <w:rFonts w:asciiTheme="majorHAnsi" w:eastAsiaTheme="majorEastAsia" w:hAnsiTheme="majorHAnsi" w:cstheme="majorBidi"/>
      <w:b/>
      <w:bCs/>
      <w:color w:val="4F81BD" w:themeColor="accent1"/>
      <w:sz w:val="26"/>
      <w:szCs w:val="26"/>
    </w:rPr>
  </w:style>
  <w:style w:type="paragraph" w:styleId="Sumrio1">
    <w:name w:val="toc 1"/>
    <w:basedOn w:val="Normal"/>
    <w:next w:val="Normal"/>
    <w:autoRedefine/>
    <w:uiPriority w:val="39"/>
    <w:unhideWhenUsed/>
    <w:rsid w:val="00AF08ED"/>
    <w:pPr>
      <w:spacing w:before="120" w:after="120"/>
    </w:pPr>
    <w:rPr>
      <w:rFonts w:cstheme="minorHAnsi"/>
      <w:b/>
      <w:bCs/>
      <w:caps/>
      <w:sz w:val="20"/>
      <w:szCs w:val="20"/>
    </w:rPr>
  </w:style>
  <w:style w:type="paragraph" w:styleId="Sumrio2">
    <w:name w:val="toc 2"/>
    <w:basedOn w:val="Normal"/>
    <w:next w:val="Normal"/>
    <w:autoRedefine/>
    <w:uiPriority w:val="39"/>
    <w:unhideWhenUsed/>
    <w:rsid w:val="00AF08ED"/>
    <w:pPr>
      <w:spacing w:after="0"/>
      <w:ind w:left="220"/>
    </w:pPr>
    <w:rPr>
      <w:rFonts w:cstheme="minorHAnsi"/>
      <w:smallCaps/>
      <w:sz w:val="20"/>
      <w:szCs w:val="20"/>
    </w:rPr>
  </w:style>
  <w:style w:type="paragraph" w:styleId="Sumrio3">
    <w:name w:val="toc 3"/>
    <w:basedOn w:val="Normal"/>
    <w:next w:val="Normal"/>
    <w:autoRedefine/>
    <w:uiPriority w:val="39"/>
    <w:unhideWhenUsed/>
    <w:rsid w:val="00AF08ED"/>
    <w:pPr>
      <w:spacing w:after="0"/>
      <w:ind w:left="440"/>
    </w:pPr>
    <w:rPr>
      <w:rFonts w:cstheme="minorHAnsi"/>
      <w:i/>
      <w:iCs/>
      <w:sz w:val="20"/>
      <w:szCs w:val="20"/>
    </w:rPr>
  </w:style>
  <w:style w:type="paragraph" w:styleId="Sumrio4">
    <w:name w:val="toc 4"/>
    <w:basedOn w:val="Normal"/>
    <w:next w:val="Normal"/>
    <w:autoRedefine/>
    <w:uiPriority w:val="39"/>
    <w:unhideWhenUsed/>
    <w:rsid w:val="00AF08ED"/>
    <w:pPr>
      <w:spacing w:after="0"/>
      <w:ind w:left="660"/>
    </w:pPr>
    <w:rPr>
      <w:rFonts w:cstheme="minorHAnsi"/>
      <w:sz w:val="18"/>
      <w:szCs w:val="18"/>
    </w:rPr>
  </w:style>
  <w:style w:type="paragraph" w:styleId="Sumrio5">
    <w:name w:val="toc 5"/>
    <w:basedOn w:val="Normal"/>
    <w:next w:val="Normal"/>
    <w:autoRedefine/>
    <w:uiPriority w:val="39"/>
    <w:unhideWhenUsed/>
    <w:rsid w:val="00AF08ED"/>
    <w:pPr>
      <w:spacing w:after="0"/>
      <w:ind w:left="880"/>
    </w:pPr>
    <w:rPr>
      <w:rFonts w:cstheme="minorHAnsi"/>
      <w:sz w:val="18"/>
      <w:szCs w:val="18"/>
    </w:rPr>
  </w:style>
  <w:style w:type="paragraph" w:styleId="Sumrio6">
    <w:name w:val="toc 6"/>
    <w:basedOn w:val="Normal"/>
    <w:next w:val="Normal"/>
    <w:autoRedefine/>
    <w:uiPriority w:val="39"/>
    <w:unhideWhenUsed/>
    <w:rsid w:val="00AF08ED"/>
    <w:pPr>
      <w:spacing w:after="0"/>
      <w:ind w:left="1100"/>
    </w:pPr>
    <w:rPr>
      <w:rFonts w:cstheme="minorHAnsi"/>
      <w:sz w:val="18"/>
      <w:szCs w:val="18"/>
    </w:rPr>
  </w:style>
  <w:style w:type="paragraph" w:styleId="Sumrio7">
    <w:name w:val="toc 7"/>
    <w:basedOn w:val="Normal"/>
    <w:next w:val="Normal"/>
    <w:autoRedefine/>
    <w:uiPriority w:val="39"/>
    <w:unhideWhenUsed/>
    <w:rsid w:val="00AF08ED"/>
    <w:pPr>
      <w:spacing w:after="0"/>
      <w:ind w:left="1320"/>
    </w:pPr>
    <w:rPr>
      <w:rFonts w:cstheme="minorHAnsi"/>
      <w:sz w:val="18"/>
      <w:szCs w:val="18"/>
    </w:rPr>
  </w:style>
  <w:style w:type="paragraph" w:styleId="Sumrio8">
    <w:name w:val="toc 8"/>
    <w:basedOn w:val="Normal"/>
    <w:next w:val="Normal"/>
    <w:autoRedefine/>
    <w:uiPriority w:val="39"/>
    <w:unhideWhenUsed/>
    <w:rsid w:val="00AF08ED"/>
    <w:pPr>
      <w:spacing w:after="0"/>
      <w:ind w:left="1540"/>
    </w:pPr>
    <w:rPr>
      <w:rFonts w:cstheme="minorHAnsi"/>
      <w:sz w:val="18"/>
      <w:szCs w:val="18"/>
    </w:rPr>
  </w:style>
  <w:style w:type="paragraph" w:styleId="Sumrio9">
    <w:name w:val="toc 9"/>
    <w:basedOn w:val="Normal"/>
    <w:next w:val="Normal"/>
    <w:autoRedefine/>
    <w:uiPriority w:val="39"/>
    <w:unhideWhenUsed/>
    <w:rsid w:val="00AF08ED"/>
    <w:pPr>
      <w:spacing w:after="0"/>
      <w:ind w:left="1760"/>
    </w:pPr>
    <w:rPr>
      <w:rFonts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C3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63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63D9"/>
  </w:style>
  <w:style w:type="paragraph" w:styleId="Rodap">
    <w:name w:val="footer"/>
    <w:basedOn w:val="Normal"/>
    <w:link w:val="RodapChar"/>
    <w:uiPriority w:val="99"/>
    <w:unhideWhenUsed/>
    <w:rsid w:val="001263D9"/>
    <w:pPr>
      <w:tabs>
        <w:tab w:val="center" w:pos="4252"/>
        <w:tab w:val="right" w:pos="8504"/>
      </w:tabs>
      <w:spacing w:after="0" w:line="240" w:lineRule="auto"/>
    </w:pPr>
  </w:style>
  <w:style w:type="character" w:customStyle="1" w:styleId="RodapChar">
    <w:name w:val="Rodapé Char"/>
    <w:basedOn w:val="Fontepargpadro"/>
    <w:link w:val="Rodap"/>
    <w:uiPriority w:val="99"/>
    <w:rsid w:val="001263D9"/>
  </w:style>
  <w:style w:type="paragraph" w:styleId="Textodebalo">
    <w:name w:val="Balloon Text"/>
    <w:basedOn w:val="Normal"/>
    <w:link w:val="TextodebaloChar"/>
    <w:uiPriority w:val="99"/>
    <w:semiHidden/>
    <w:unhideWhenUsed/>
    <w:rsid w:val="001263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63D9"/>
    <w:rPr>
      <w:rFonts w:ascii="Tahoma" w:hAnsi="Tahoma" w:cs="Tahoma"/>
      <w:sz w:val="16"/>
      <w:szCs w:val="16"/>
    </w:rPr>
  </w:style>
  <w:style w:type="table" w:styleId="Tabelacomgrade">
    <w:name w:val="Table Grid"/>
    <w:basedOn w:val="Tabelanormal"/>
    <w:uiPriority w:val="59"/>
    <w:rsid w:val="00117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F290D"/>
    <w:pPr>
      <w:ind w:left="720"/>
      <w:contextualSpacing/>
    </w:pPr>
  </w:style>
  <w:style w:type="paragraph" w:customStyle="1" w:styleId="Default">
    <w:name w:val="Default"/>
    <w:rsid w:val="00AF290D"/>
    <w:pPr>
      <w:autoSpaceDE w:val="0"/>
      <w:autoSpaceDN w:val="0"/>
      <w:adjustRightInd w:val="0"/>
      <w:spacing w:after="0" w:line="240" w:lineRule="auto"/>
    </w:pPr>
    <w:rPr>
      <w:rFonts w:ascii="Cambria" w:eastAsia="Calibri" w:hAnsi="Cambria" w:cs="Cambria"/>
      <w:color w:val="000000"/>
      <w:sz w:val="24"/>
      <w:szCs w:val="24"/>
    </w:rPr>
  </w:style>
  <w:style w:type="paragraph" w:customStyle="1" w:styleId="Normal1">
    <w:name w:val="Normal1"/>
    <w:rsid w:val="00AF290D"/>
    <w:pPr>
      <w:suppressAutoHyphens/>
      <w:autoSpaceDE w:val="0"/>
      <w:spacing w:after="0" w:line="240" w:lineRule="auto"/>
    </w:pPr>
    <w:rPr>
      <w:rFonts w:ascii="Arial" w:eastAsia="Times New Roman" w:hAnsi="Arial" w:cs="Arial"/>
      <w:color w:val="000000"/>
      <w:sz w:val="24"/>
      <w:szCs w:val="24"/>
      <w:lang w:eastAsia="zh-CN"/>
    </w:rPr>
  </w:style>
  <w:style w:type="paragraph" w:styleId="Textodenotaderodap">
    <w:name w:val="footnote text"/>
    <w:basedOn w:val="Normal"/>
    <w:link w:val="TextodenotaderodapChar"/>
    <w:uiPriority w:val="99"/>
    <w:semiHidden/>
    <w:unhideWhenUsed/>
    <w:rsid w:val="00FF27F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F27FC"/>
    <w:rPr>
      <w:sz w:val="20"/>
      <w:szCs w:val="20"/>
    </w:rPr>
  </w:style>
  <w:style w:type="character" w:styleId="Refdenotaderodap">
    <w:name w:val="footnote reference"/>
    <w:basedOn w:val="Fontepargpadro"/>
    <w:uiPriority w:val="99"/>
    <w:semiHidden/>
    <w:unhideWhenUsed/>
    <w:rsid w:val="00FF27FC"/>
    <w:rPr>
      <w:vertAlign w:val="superscript"/>
    </w:rPr>
  </w:style>
  <w:style w:type="character" w:styleId="Hyperlink">
    <w:name w:val="Hyperlink"/>
    <w:basedOn w:val="Fontepargpadro"/>
    <w:uiPriority w:val="99"/>
    <w:unhideWhenUsed/>
    <w:rsid w:val="009E72A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8157684">
      <w:bodyDiv w:val="1"/>
      <w:marLeft w:val="0"/>
      <w:marRight w:val="0"/>
      <w:marTop w:val="0"/>
      <w:marBottom w:val="0"/>
      <w:divBdr>
        <w:top w:val="none" w:sz="0" w:space="0" w:color="auto"/>
        <w:left w:val="none" w:sz="0" w:space="0" w:color="auto"/>
        <w:bottom w:val="none" w:sz="0" w:space="0" w:color="auto"/>
        <w:right w:val="none" w:sz="0" w:space="0" w:color="auto"/>
      </w:divBdr>
    </w:div>
    <w:div w:id="286818218">
      <w:bodyDiv w:val="1"/>
      <w:marLeft w:val="0"/>
      <w:marRight w:val="0"/>
      <w:marTop w:val="0"/>
      <w:marBottom w:val="0"/>
      <w:divBdr>
        <w:top w:val="none" w:sz="0" w:space="0" w:color="auto"/>
        <w:left w:val="none" w:sz="0" w:space="0" w:color="auto"/>
        <w:bottom w:val="none" w:sz="0" w:space="0" w:color="auto"/>
        <w:right w:val="none" w:sz="0" w:space="0" w:color="auto"/>
      </w:divBdr>
    </w:div>
    <w:div w:id="388579989">
      <w:bodyDiv w:val="1"/>
      <w:marLeft w:val="0"/>
      <w:marRight w:val="0"/>
      <w:marTop w:val="0"/>
      <w:marBottom w:val="0"/>
      <w:divBdr>
        <w:top w:val="none" w:sz="0" w:space="0" w:color="auto"/>
        <w:left w:val="none" w:sz="0" w:space="0" w:color="auto"/>
        <w:bottom w:val="none" w:sz="0" w:space="0" w:color="auto"/>
        <w:right w:val="none" w:sz="0" w:space="0" w:color="auto"/>
      </w:divBdr>
    </w:div>
    <w:div w:id="451439054">
      <w:bodyDiv w:val="1"/>
      <w:marLeft w:val="0"/>
      <w:marRight w:val="0"/>
      <w:marTop w:val="0"/>
      <w:marBottom w:val="0"/>
      <w:divBdr>
        <w:top w:val="none" w:sz="0" w:space="0" w:color="auto"/>
        <w:left w:val="none" w:sz="0" w:space="0" w:color="auto"/>
        <w:bottom w:val="none" w:sz="0" w:space="0" w:color="auto"/>
        <w:right w:val="none" w:sz="0" w:space="0" w:color="auto"/>
      </w:divBdr>
    </w:div>
    <w:div w:id="605888790">
      <w:bodyDiv w:val="1"/>
      <w:marLeft w:val="0"/>
      <w:marRight w:val="0"/>
      <w:marTop w:val="0"/>
      <w:marBottom w:val="0"/>
      <w:divBdr>
        <w:top w:val="none" w:sz="0" w:space="0" w:color="auto"/>
        <w:left w:val="none" w:sz="0" w:space="0" w:color="auto"/>
        <w:bottom w:val="none" w:sz="0" w:space="0" w:color="auto"/>
        <w:right w:val="none" w:sz="0" w:space="0" w:color="auto"/>
      </w:divBdr>
    </w:div>
    <w:div w:id="687102304">
      <w:bodyDiv w:val="1"/>
      <w:marLeft w:val="0"/>
      <w:marRight w:val="0"/>
      <w:marTop w:val="0"/>
      <w:marBottom w:val="0"/>
      <w:divBdr>
        <w:top w:val="none" w:sz="0" w:space="0" w:color="auto"/>
        <w:left w:val="none" w:sz="0" w:space="0" w:color="auto"/>
        <w:bottom w:val="none" w:sz="0" w:space="0" w:color="auto"/>
        <w:right w:val="none" w:sz="0" w:space="0" w:color="auto"/>
      </w:divBdr>
    </w:div>
    <w:div w:id="783504149">
      <w:bodyDiv w:val="1"/>
      <w:marLeft w:val="0"/>
      <w:marRight w:val="0"/>
      <w:marTop w:val="0"/>
      <w:marBottom w:val="0"/>
      <w:divBdr>
        <w:top w:val="none" w:sz="0" w:space="0" w:color="auto"/>
        <w:left w:val="none" w:sz="0" w:space="0" w:color="auto"/>
        <w:bottom w:val="none" w:sz="0" w:space="0" w:color="auto"/>
        <w:right w:val="none" w:sz="0" w:space="0" w:color="auto"/>
      </w:divBdr>
    </w:div>
    <w:div w:id="848330172">
      <w:bodyDiv w:val="1"/>
      <w:marLeft w:val="0"/>
      <w:marRight w:val="0"/>
      <w:marTop w:val="0"/>
      <w:marBottom w:val="0"/>
      <w:divBdr>
        <w:top w:val="none" w:sz="0" w:space="0" w:color="auto"/>
        <w:left w:val="none" w:sz="0" w:space="0" w:color="auto"/>
        <w:bottom w:val="none" w:sz="0" w:space="0" w:color="auto"/>
        <w:right w:val="none" w:sz="0" w:space="0" w:color="auto"/>
      </w:divBdr>
    </w:div>
    <w:div w:id="866917954">
      <w:bodyDiv w:val="1"/>
      <w:marLeft w:val="0"/>
      <w:marRight w:val="0"/>
      <w:marTop w:val="0"/>
      <w:marBottom w:val="0"/>
      <w:divBdr>
        <w:top w:val="none" w:sz="0" w:space="0" w:color="auto"/>
        <w:left w:val="none" w:sz="0" w:space="0" w:color="auto"/>
        <w:bottom w:val="none" w:sz="0" w:space="0" w:color="auto"/>
        <w:right w:val="none" w:sz="0" w:space="0" w:color="auto"/>
      </w:divBdr>
    </w:div>
    <w:div w:id="887955994">
      <w:bodyDiv w:val="1"/>
      <w:marLeft w:val="0"/>
      <w:marRight w:val="0"/>
      <w:marTop w:val="0"/>
      <w:marBottom w:val="0"/>
      <w:divBdr>
        <w:top w:val="none" w:sz="0" w:space="0" w:color="auto"/>
        <w:left w:val="none" w:sz="0" w:space="0" w:color="auto"/>
        <w:bottom w:val="none" w:sz="0" w:space="0" w:color="auto"/>
        <w:right w:val="none" w:sz="0" w:space="0" w:color="auto"/>
      </w:divBdr>
    </w:div>
    <w:div w:id="978464419">
      <w:bodyDiv w:val="1"/>
      <w:marLeft w:val="0"/>
      <w:marRight w:val="0"/>
      <w:marTop w:val="0"/>
      <w:marBottom w:val="0"/>
      <w:divBdr>
        <w:top w:val="none" w:sz="0" w:space="0" w:color="auto"/>
        <w:left w:val="none" w:sz="0" w:space="0" w:color="auto"/>
        <w:bottom w:val="none" w:sz="0" w:space="0" w:color="auto"/>
        <w:right w:val="none" w:sz="0" w:space="0" w:color="auto"/>
      </w:divBdr>
    </w:div>
    <w:div w:id="1113551785">
      <w:bodyDiv w:val="1"/>
      <w:marLeft w:val="0"/>
      <w:marRight w:val="0"/>
      <w:marTop w:val="0"/>
      <w:marBottom w:val="0"/>
      <w:divBdr>
        <w:top w:val="none" w:sz="0" w:space="0" w:color="auto"/>
        <w:left w:val="none" w:sz="0" w:space="0" w:color="auto"/>
        <w:bottom w:val="none" w:sz="0" w:space="0" w:color="auto"/>
        <w:right w:val="none" w:sz="0" w:space="0" w:color="auto"/>
      </w:divBdr>
    </w:div>
    <w:div w:id="1129006581">
      <w:bodyDiv w:val="1"/>
      <w:marLeft w:val="0"/>
      <w:marRight w:val="0"/>
      <w:marTop w:val="0"/>
      <w:marBottom w:val="0"/>
      <w:divBdr>
        <w:top w:val="none" w:sz="0" w:space="0" w:color="auto"/>
        <w:left w:val="none" w:sz="0" w:space="0" w:color="auto"/>
        <w:bottom w:val="none" w:sz="0" w:space="0" w:color="auto"/>
        <w:right w:val="none" w:sz="0" w:space="0" w:color="auto"/>
      </w:divBdr>
    </w:div>
    <w:div w:id="1329167143">
      <w:bodyDiv w:val="1"/>
      <w:marLeft w:val="0"/>
      <w:marRight w:val="0"/>
      <w:marTop w:val="0"/>
      <w:marBottom w:val="0"/>
      <w:divBdr>
        <w:top w:val="none" w:sz="0" w:space="0" w:color="auto"/>
        <w:left w:val="none" w:sz="0" w:space="0" w:color="auto"/>
        <w:bottom w:val="none" w:sz="0" w:space="0" w:color="auto"/>
        <w:right w:val="none" w:sz="0" w:space="0" w:color="auto"/>
      </w:divBdr>
    </w:div>
    <w:div w:id="1386952195">
      <w:bodyDiv w:val="1"/>
      <w:marLeft w:val="0"/>
      <w:marRight w:val="0"/>
      <w:marTop w:val="0"/>
      <w:marBottom w:val="0"/>
      <w:divBdr>
        <w:top w:val="none" w:sz="0" w:space="0" w:color="auto"/>
        <w:left w:val="none" w:sz="0" w:space="0" w:color="auto"/>
        <w:bottom w:val="none" w:sz="0" w:space="0" w:color="auto"/>
        <w:right w:val="none" w:sz="0" w:space="0" w:color="auto"/>
      </w:divBdr>
    </w:div>
    <w:div w:id="1466388847">
      <w:bodyDiv w:val="1"/>
      <w:marLeft w:val="0"/>
      <w:marRight w:val="0"/>
      <w:marTop w:val="0"/>
      <w:marBottom w:val="0"/>
      <w:divBdr>
        <w:top w:val="none" w:sz="0" w:space="0" w:color="auto"/>
        <w:left w:val="none" w:sz="0" w:space="0" w:color="auto"/>
        <w:bottom w:val="none" w:sz="0" w:space="0" w:color="auto"/>
        <w:right w:val="none" w:sz="0" w:space="0" w:color="auto"/>
      </w:divBdr>
    </w:div>
    <w:div w:id="1534415379">
      <w:bodyDiv w:val="1"/>
      <w:marLeft w:val="0"/>
      <w:marRight w:val="0"/>
      <w:marTop w:val="0"/>
      <w:marBottom w:val="0"/>
      <w:divBdr>
        <w:top w:val="none" w:sz="0" w:space="0" w:color="auto"/>
        <w:left w:val="none" w:sz="0" w:space="0" w:color="auto"/>
        <w:bottom w:val="none" w:sz="0" w:space="0" w:color="auto"/>
        <w:right w:val="none" w:sz="0" w:space="0" w:color="auto"/>
      </w:divBdr>
    </w:div>
    <w:div w:id="1558590331">
      <w:bodyDiv w:val="1"/>
      <w:marLeft w:val="0"/>
      <w:marRight w:val="0"/>
      <w:marTop w:val="0"/>
      <w:marBottom w:val="0"/>
      <w:divBdr>
        <w:top w:val="none" w:sz="0" w:space="0" w:color="auto"/>
        <w:left w:val="none" w:sz="0" w:space="0" w:color="auto"/>
        <w:bottom w:val="none" w:sz="0" w:space="0" w:color="auto"/>
        <w:right w:val="none" w:sz="0" w:space="0" w:color="auto"/>
      </w:divBdr>
    </w:div>
    <w:div w:id="1867057040">
      <w:bodyDiv w:val="1"/>
      <w:marLeft w:val="0"/>
      <w:marRight w:val="0"/>
      <w:marTop w:val="0"/>
      <w:marBottom w:val="0"/>
      <w:divBdr>
        <w:top w:val="none" w:sz="0" w:space="0" w:color="auto"/>
        <w:left w:val="none" w:sz="0" w:space="0" w:color="auto"/>
        <w:bottom w:val="none" w:sz="0" w:space="0" w:color="auto"/>
        <w:right w:val="none" w:sz="0" w:space="0" w:color="auto"/>
      </w:divBdr>
    </w:div>
    <w:div w:id="2010715928">
      <w:bodyDiv w:val="1"/>
      <w:marLeft w:val="0"/>
      <w:marRight w:val="0"/>
      <w:marTop w:val="0"/>
      <w:marBottom w:val="0"/>
      <w:divBdr>
        <w:top w:val="none" w:sz="0" w:space="0" w:color="auto"/>
        <w:left w:val="none" w:sz="0" w:space="0" w:color="auto"/>
        <w:bottom w:val="none" w:sz="0" w:space="0" w:color="auto"/>
        <w:right w:val="none" w:sz="0" w:space="0" w:color="auto"/>
      </w:divBdr>
    </w:div>
    <w:div w:id="203627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2.tiff"/><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1.tif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aniel\AppData\Roaming\Microsoft\Excel\Pasta1%20(version%201).xlsb"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niel\AppData\Roaming\Microsoft\Excel\Pasta1%20(version%201).xlsb"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aniel\AppData\Roaming\Microsoft\Excel\Pasta1%20(version%201).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1A - Ano  2016</a:t>
            </a:r>
          </a:p>
        </c:rich>
      </c:tx>
      <c:layout/>
    </c:title>
    <c:plotArea>
      <c:layout/>
      <c:areaChart>
        <c:grouping val="stacked"/>
        <c:ser>
          <c:idx val="0"/>
          <c:order val="0"/>
          <c:cat>
            <c:strRef>
              <c:f>Plan1!$A$1:$B$1</c:f>
              <c:strCache>
                <c:ptCount val="2"/>
                <c:pt idx="0">
                  <c:v>Meta</c:v>
                </c:pt>
                <c:pt idx="1">
                  <c:v>Alcançado</c:v>
                </c:pt>
              </c:strCache>
            </c:strRef>
          </c:cat>
          <c:val>
            <c:numRef>
              <c:f>Plan1!$A$2:$B$2</c:f>
              <c:numCache>
                <c:formatCode>General</c:formatCode>
                <c:ptCount val="2"/>
                <c:pt idx="0">
                  <c:v>100</c:v>
                </c:pt>
                <c:pt idx="1">
                  <c:v>100</c:v>
                </c:pt>
              </c:numCache>
            </c:numRef>
          </c:val>
        </c:ser>
        <c:axId val="80848768"/>
        <c:axId val="80850304"/>
      </c:areaChart>
      <c:catAx>
        <c:axId val="80848768"/>
        <c:scaling>
          <c:orientation val="minMax"/>
        </c:scaling>
        <c:axPos val="b"/>
        <c:majorTickMark val="none"/>
        <c:tickLblPos val="nextTo"/>
        <c:crossAx val="80850304"/>
        <c:crosses val="autoZero"/>
        <c:auto val="1"/>
        <c:lblAlgn val="ctr"/>
        <c:lblOffset val="100"/>
      </c:catAx>
      <c:valAx>
        <c:axId val="80850304"/>
        <c:scaling>
          <c:orientation val="minMax"/>
        </c:scaling>
        <c:axPos val="l"/>
        <c:majorGridlines/>
        <c:numFmt formatCode="General" sourceLinked="1"/>
        <c:majorTickMark val="none"/>
        <c:tickLblPos val="nextTo"/>
        <c:crossAx val="80848768"/>
        <c:crosses val="autoZero"/>
        <c:crossBetween val="midCat"/>
      </c:valAx>
      <c:dTable>
        <c:showHorzBorder val="1"/>
        <c:showVertBorder val="1"/>
        <c:showOutline val="1"/>
        <c:showKeys val="1"/>
      </c:dTable>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6A</a:t>
            </a:r>
          </a:p>
        </c:rich>
      </c:tx>
      <c:layout/>
    </c:title>
    <c:view3D>
      <c:perspective val="30"/>
    </c:view3D>
    <c:plotArea>
      <c:layout/>
      <c:bar3DChart>
        <c:barDir val="col"/>
        <c:grouping val="clustered"/>
        <c:ser>
          <c:idx val="0"/>
          <c:order val="0"/>
          <c:tx>
            <c:strRef>
              <c:f>Plan1!$A$4</c:f>
              <c:strCache>
                <c:ptCount val="1"/>
                <c:pt idx="0">
                  <c:v>Meta  </c:v>
                </c:pt>
              </c:strCache>
            </c:strRef>
          </c:tx>
          <c:cat>
            <c:numRef>
              <c:f>Plan1!$B$3:$E$3</c:f>
              <c:numCache>
                <c:formatCode>General</c:formatCode>
                <c:ptCount val="4"/>
                <c:pt idx="0">
                  <c:v>2016</c:v>
                </c:pt>
                <c:pt idx="1">
                  <c:v>2017</c:v>
                </c:pt>
                <c:pt idx="2">
                  <c:v>2018</c:v>
                </c:pt>
                <c:pt idx="3">
                  <c:v>2019</c:v>
                </c:pt>
              </c:numCache>
            </c:numRef>
          </c:cat>
          <c:val>
            <c:numRef>
              <c:f>Plan1!$B$4:$E$4</c:f>
              <c:numCache>
                <c:formatCode>0%</c:formatCode>
                <c:ptCount val="4"/>
                <c:pt idx="0">
                  <c:v>0.5</c:v>
                </c:pt>
                <c:pt idx="1">
                  <c:v>0.5</c:v>
                </c:pt>
                <c:pt idx="2">
                  <c:v>0.5</c:v>
                </c:pt>
                <c:pt idx="3">
                  <c:v>0.5</c:v>
                </c:pt>
              </c:numCache>
            </c:numRef>
          </c:val>
        </c:ser>
        <c:ser>
          <c:idx val="1"/>
          <c:order val="1"/>
          <c:tx>
            <c:strRef>
              <c:f>Plan1!$A$5</c:f>
              <c:strCache>
                <c:ptCount val="1"/>
                <c:pt idx="0">
                  <c:v>Alcançado</c:v>
                </c:pt>
              </c:strCache>
            </c:strRef>
          </c:tx>
          <c:cat>
            <c:numRef>
              <c:f>Plan1!$B$3:$E$3</c:f>
              <c:numCache>
                <c:formatCode>General</c:formatCode>
                <c:ptCount val="4"/>
                <c:pt idx="0">
                  <c:v>2016</c:v>
                </c:pt>
                <c:pt idx="1">
                  <c:v>2017</c:v>
                </c:pt>
                <c:pt idx="2">
                  <c:v>2018</c:v>
                </c:pt>
                <c:pt idx="3">
                  <c:v>2019</c:v>
                </c:pt>
              </c:numCache>
            </c:numRef>
          </c:cat>
          <c:val>
            <c:numRef>
              <c:f>Plan1!$B$5:$E$5</c:f>
              <c:numCache>
                <c:formatCode>0%</c:formatCode>
                <c:ptCount val="4"/>
                <c:pt idx="0">
                  <c:v>0.2</c:v>
                </c:pt>
                <c:pt idx="1">
                  <c:v>0.30000000000000032</c:v>
                </c:pt>
                <c:pt idx="2">
                  <c:v>0.4</c:v>
                </c:pt>
                <c:pt idx="3">
                  <c:v>0.5</c:v>
                </c:pt>
              </c:numCache>
            </c:numRef>
          </c:val>
        </c:ser>
        <c:shape val="cylinder"/>
        <c:axId val="33169408"/>
        <c:axId val="33170944"/>
        <c:axId val="0"/>
      </c:bar3DChart>
      <c:catAx>
        <c:axId val="33169408"/>
        <c:scaling>
          <c:orientation val="minMax"/>
        </c:scaling>
        <c:axPos val="b"/>
        <c:numFmt formatCode="General" sourceLinked="1"/>
        <c:majorTickMark val="none"/>
        <c:tickLblPos val="nextTo"/>
        <c:crossAx val="33170944"/>
        <c:crosses val="autoZero"/>
        <c:auto val="1"/>
        <c:lblAlgn val="ctr"/>
        <c:lblOffset val="100"/>
      </c:catAx>
      <c:valAx>
        <c:axId val="33170944"/>
        <c:scaling>
          <c:orientation val="minMax"/>
        </c:scaling>
        <c:axPos val="l"/>
        <c:majorGridlines/>
        <c:title>
          <c:tx>
            <c:rich>
              <a:bodyPr/>
              <a:lstStyle/>
              <a:p>
                <a:pPr>
                  <a:defRPr/>
                </a:pPr>
                <a:r>
                  <a:rPr lang="pt-BR"/>
                  <a:t>Porcentagem</a:t>
                </a:r>
              </a:p>
            </c:rich>
          </c:tx>
          <c:layout/>
        </c:title>
        <c:numFmt formatCode="0%" sourceLinked="1"/>
        <c:majorTickMark val="none"/>
        <c:tickLblPos val="nextTo"/>
        <c:crossAx val="33169408"/>
        <c:crosses val="autoZero"/>
        <c:crossBetween val="between"/>
      </c:valAx>
      <c:dTable>
        <c:showHorzBorder val="1"/>
        <c:showVertBorder val="1"/>
        <c:showOutline val="1"/>
        <c:showKeys val="1"/>
      </c:dTable>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6B</a:t>
            </a:r>
          </a:p>
        </c:rich>
      </c:tx>
      <c:layout/>
    </c:title>
    <c:view3D>
      <c:perspective val="30"/>
    </c:view3D>
    <c:plotArea>
      <c:layout/>
      <c:bar3DChart>
        <c:barDir val="col"/>
        <c:grouping val="clustered"/>
        <c:ser>
          <c:idx val="0"/>
          <c:order val="0"/>
          <c:tx>
            <c:strRef>
              <c:f>Plan1!$A$14</c:f>
              <c:strCache>
                <c:ptCount val="1"/>
                <c:pt idx="0">
                  <c:v>Meta  </c:v>
                </c:pt>
              </c:strCache>
            </c:strRef>
          </c:tx>
          <c:cat>
            <c:numRef>
              <c:f>Plan1!$B$13:$C$13</c:f>
              <c:numCache>
                <c:formatCode>General</c:formatCode>
                <c:ptCount val="2"/>
                <c:pt idx="0">
                  <c:v>2016</c:v>
                </c:pt>
                <c:pt idx="1">
                  <c:v>2017</c:v>
                </c:pt>
              </c:numCache>
            </c:numRef>
          </c:cat>
          <c:val>
            <c:numRef>
              <c:f>Plan1!$B$14:$C$14</c:f>
              <c:numCache>
                <c:formatCode>0.00%</c:formatCode>
                <c:ptCount val="2"/>
                <c:pt idx="0" formatCode="0%">
                  <c:v>0.5</c:v>
                </c:pt>
                <c:pt idx="1">
                  <c:v>0.5</c:v>
                </c:pt>
              </c:numCache>
            </c:numRef>
          </c:val>
        </c:ser>
        <c:ser>
          <c:idx val="1"/>
          <c:order val="1"/>
          <c:tx>
            <c:strRef>
              <c:f>Plan1!$A$15</c:f>
              <c:strCache>
                <c:ptCount val="1"/>
                <c:pt idx="0">
                  <c:v>Alcançado</c:v>
                </c:pt>
              </c:strCache>
            </c:strRef>
          </c:tx>
          <c:cat>
            <c:numRef>
              <c:f>Plan1!$B$13:$C$13</c:f>
              <c:numCache>
                <c:formatCode>General</c:formatCode>
                <c:ptCount val="2"/>
                <c:pt idx="0">
                  <c:v>2016</c:v>
                </c:pt>
                <c:pt idx="1">
                  <c:v>2017</c:v>
                </c:pt>
              </c:numCache>
            </c:numRef>
          </c:cat>
          <c:val>
            <c:numRef>
              <c:f>Plan1!$B$15:$C$15</c:f>
              <c:numCache>
                <c:formatCode>0%</c:formatCode>
                <c:ptCount val="2"/>
                <c:pt idx="0">
                  <c:v>0.5</c:v>
                </c:pt>
                <c:pt idx="1">
                  <c:v>1</c:v>
                </c:pt>
              </c:numCache>
            </c:numRef>
          </c:val>
        </c:ser>
        <c:shape val="cylinder"/>
        <c:axId val="33198080"/>
        <c:axId val="33199616"/>
        <c:axId val="0"/>
      </c:bar3DChart>
      <c:catAx>
        <c:axId val="33198080"/>
        <c:scaling>
          <c:orientation val="minMax"/>
        </c:scaling>
        <c:axPos val="b"/>
        <c:numFmt formatCode="General" sourceLinked="1"/>
        <c:majorTickMark val="none"/>
        <c:tickLblPos val="nextTo"/>
        <c:crossAx val="33199616"/>
        <c:crosses val="autoZero"/>
        <c:auto val="1"/>
        <c:lblAlgn val="ctr"/>
        <c:lblOffset val="100"/>
      </c:catAx>
      <c:valAx>
        <c:axId val="33199616"/>
        <c:scaling>
          <c:orientation val="minMax"/>
        </c:scaling>
        <c:axPos val="l"/>
        <c:majorGridlines/>
        <c:title>
          <c:tx>
            <c:rich>
              <a:bodyPr/>
              <a:lstStyle/>
              <a:p>
                <a:pPr>
                  <a:defRPr/>
                </a:pPr>
                <a:r>
                  <a:rPr lang="pt-BR"/>
                  <a:t>Porcentagem</a:t>
                </a:r>
              </a:p>
            </c:rich>
          </c:tx>
          <c:layout/>
        </c:title>
        <c:numFmt formatCode="0%" sourceLinked="1"/>
        <c:majorTickMark val="none"/>
        <c:tickLblPos val="nextTo"/>
        <c:crossAx val="33198080"/>
        <c:crosses val="autoZero"/>
        <c:crossBetween val="between"/>
      </c:valAx>
      <c:dTable>
        <c:showHorzBorder val="1"/>
        <c:showVertBorder val="1"/>
        <c:showOutline val="1"/>
        <c:showKeys val="1"/>
      </c:dTable>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7 A</a:t>
            </a:r>
          </a:p>
        </c:rich>
      </c:tx>
      <c:layout/>
    </c:title>
    <c:plotArea>
      <c:layout/>
      <c:lineChart>
        <c:grouping val="standard"/>
        <c:ser>
          <c:idx val="0"/>
          <c:order val="0"/>
          <c:tx>
            <c:strRef>
              <c:f>Plan2!$A$2:$C$2</c:f>
              <c:strCache>
                <c:ptCount val="1"/>
                <c:pt idx="0">
                  <c:v>Meta  </c:v>
                </c:pt>
              </c:strCache>
            </c:strRef>
          </c:tx>
          <c:cat>
            <c:numRef>
              <c:f>Plan2!$D$1:$I$1</c:f>
              <c:numCache>
                <c:formatCode>General</c:formatCode>
                <c:ptCount val="6"/>
                <c:pt idx="0">
                  <c:v>2016</c:v>
                </c:pt>
                <c:pt idx="1">
                  <c:v>2017</c:v>
                </c:pt>
                <c:pt idx="2">
                  <c:v>2018</c:v>
                </c:pt>
                <c:pt idx="3">
                  <c:v>2019</c:v>
                </c:pt>
                <c:pt idx="4">
                  <c:v>2020</c:v>
                </c:pt>
                <c:pt idx="5">
                  <c:v>2021</c:v>
                </c:pt>
              </c:numCache>
            </c:numRef>
          </c:cat>
          <c:val>
            <c:numRef>
              <c:f>Plan2!$D$2:$I$2</c:f>
              <c:numCache>
                <c:formatCode>General</c:formatCode>
                <c:ptCount val="6"/>
                <c:pt idx="0">
                  <c:v>6</c:v>
                </c:pt>
                <c:pt idx="1">
                  <c:v>6</c:v>
                </c:pt>
                <c:pt idx="2">
                  <c:v>6</c:v>
                </c:pt>
                <c:pt idx="3">
                  <c:v>6</c:v>
                </c:pt>
                <c:pt idx="4">
                  <c:v>6</c:v>
                </c:pt>
                <c:pt idx="5">
                  <c:v>6</c:v>
                </c:pt>
              </c:numCache>
            </c:numRef>
          </c:val>
        </c:ser>
        <c:ser>
          <c:idx val="1"/>
          <c:order val="1"/>
          <c:tx>
            <c:strRef>
              <c:f>Plan2!$A$3:$C$3</c:f>
              <c:strCache>
                <c:ptCount val="1"/>
                <c:pt idx="0">
                  <c:v>Alcançado</c:v>
                </c:pt>
              </c:strCache>
            </c:strRef>
          </c:tx>
          <c:cat>
            <c:numRef>
              <c:f>Plan2!$D$1:$I$1</c:f>
              <c:numCache>
                <c:formatCode>General</c:formatCode>
                <c:ptCount val="6"/>
                <c:pt idx="0">
                  <c:v>2016</c:v>
                </c:pt>
                <c:pt idx="1">
                  <c:v>2017</c:v>
                </c:pt>
                <c:pt idx="2">
                  <c:v>2018</c:v>
                </c:pt>
                <c:pt idx="3">
                  <c:v>2019</c:v>
                </c:pt>
                <c:pt idx="4">
                  <c:v>2020</c:v>
                </c:pt>
                <c:pt idx="5">
                  <c:v>2021</c:v>
                </c:pt>
              </c:numCache>
            </c:numRef>
          </c:cat>
          <c:val>
            <c:numRef>
              <c:f>Plan2!$D$3:$I$3</c:f>
              <c:numCache>
                <c:formatCode>General</c:formatCode>
                <c:ptCount val="6"/>
                <c:pt idx="1">
                  <c:v>5</c:v>
                </c:pt>
                <c:pt idx="2">
                  <c:v>5.4</c:v>
                </c:pt>
                <c:pt idx="3">
                  <c:v>5.6</c:v>
                </c:pt>
                <c:pt idx="4">
                  <c:v>5.8</c:v>
                </c:pt>
                <c:pt idx="5">
                  <c:v>6</c:v>
                </c:pt>
              </c:numCache>
            </c:numRef>
          </c:val>
        </c:ser>
        <c:marker val="1"/>
        <c:axId val="33295744"/>
        <c:axId val="33309824"/>
      </c:lineChart>
      <c:catAx>
        <c:axId val="33295744"/>
        <c:scaling>
          <c:orientation val="minMax"/>
        </c:scaling>
        <c:axPos val="b"/>
        <c:numFmt formatCode="General" sourceLinked="1"/>
        <c:majorTickMark val="none"/>
        <c:tickLblPos val="nextTo"/>
        <c:crossAx val="33309824"/>
        <c:crosses val="autoZero"/>
        <c:auto val="1"/>
        <c:lblAlgn val="ctr"/>
        <c:lblOffset val="100"/>
      </c:catAx>
      <c:valAx>
        <c:axId val="33309824"/>
        <c:scaling>
          <c:orientation val="minMax"/>
        </c:scaling>
        <c:axPos val="l"/>
        <c:majorGridlines/>
        <c:title>
          <c:tx>
            <c:rich>
              <a:bodyPr/>
              <a:lstStyle/>
              <a:p>
                <a:pPr>
                  <a:defRPr/>
                </a:pPr>
                <a:r>
                  <a:rPr lang="pt-BR"/>
                  <a:t>Índice</a:t>
                </a:r>
              </a:p>
            </c:rich>
          </c:tx>
          <c:layout>
            <c:manualLayout>
              <c:xMode val="edge"/>
              <c:yMode val="edge"/>
              <c:x val="0.10833333333333336"/>
              <c:y val="0.38956036745407002"/>
            </c:manualLayout>
          </c:layout>
        </c:title>
        <c:numFmt formatCode="General" sourceLinked="1"/>
        <c:majorTickMark val="none"/>
        <c:tickLblPos val="nextTo"/>
        <c:crossAx val="33295744"/>
        <c:crosses val="autoZero"/>
        <c:crossBetween val="between"/>
      </c:valAx>
      <c:dTable>
        <c:showHorzBorder val="1"/>
        <c:showVertBorder val="1"/>
        <c:showOutline val="1"/>
        <c:showKeys val="1"/>
      </c:dTable>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7 B</a:t>
            </a:r>
          </a:p>
        </c:rich>
      </c:tx>
      <c:layout/>
    </c:title>
    <c:plotArea>
      <c:layout/>
      <c:lineChart>
        <c:grouping val="standard"/>
        <c:ser>
          <c:idx val="0"/>
          <c:order val="0"/>
          <c:tx>
            <c:strRef>
              <c:f>Plan2!$A$11:$C$11</c:f>
              <c:strCache>
                <c:ptCount val="1"/>
                <c:pt idx="0">
                  <c:v>Meta  </c:v>
                </c:pt>
              </c:strCache>
            </c:strRef>
          </c:tx>
          <c:cat>
            <c:numRef>
              <c:f>Plan2!$D$10:$G$10</c:f>
              <c:numCache>
                <c:formatCode>General</c:formatCode>
                <c:ptCount val="4"/>
                <c:pt idx="0">
                  <c:v>2016</c:v>
                </c:pt>
                <c:pt idx="1">
                  <c:v>2017</c:v>
                </c:pt>
                <c:pt idx="2">
                  <c:v>2018</c:v>
                </c:pt>
                <c:pt idx="3">
                  <c:v>2019</c:v>
                </c:pt>
              </c:numCache>
            </c:numRef>
          </c:cat>
          <c:val>
            <c:numRef>
              <c:f>Plan2!$D$11:$G$11</c:f>
              <c:numCache>
                <c:formatCode>General</c:formatCode>
                <c:ptCount val="4"/>
                <c:pt idx="0">
                  <c:v>5.5</c:v>
                </c:pt>
                <c:pt idx="1">
                  <c:v>5.5</c:v>
                </c:pt>
                <c:pt idx="2">
                  <c:v>5.5</c:v>
                </c:pt>
                <c:pt idx="3">
                  <c:v>5.5</c:v>
                </c:pt>
              </c:numCache>
            </c:numRef>
          </c:val>
        </c:ser>
        <c:ser>
          <c:idx val="1"/>
          <c:order val="1"/>
          <c:tx>
            <c:strRef>
              <c:f>Plan2!$A$12:$C$12</c:f>
              <c:strCache>
                <c:ptCount val="1"/>
                <c:pt idx="0">
                  <c:v>Alcançado</c:v>
                </c:pt>
              </c:strCache>
            </c:strRef>
          </c:tx>
          <c:cat>
            <c:numRef>
              <c:f>Plan2!$D$10:$G$10</c:f>
              <c:numCache>
                <c:formatCode>General</c:formatCode>
                <c:ptCount val="4"/>
                <c:pt idx="0">
                  <c:v>2016</c:v>
                </c:pt>
                <c:pt idx="1">
                  <c:v>2017</c:v>
                </c:pt>
                <c:pt idx="2">
                  <c:v>2018</c:v>
                </c:pt>
                <c:pt idx="3">
                  <c:v>2019</c:v>
                </c:pt>
              </c:numCache>
            </c:numRef>
          </c:cat>
          <c:val>
            <c:numRef>
              <c:f>Plan2!$D$12:$G$12</c:f>
              <c:numCache>
                <c:formatCode>General</c:formatCode>
                <c:ptCount val="4"/>
                <c:pt idx="0">
                  <c:v>4.8</c:v>
                </c:pt>
                <c:pt idx="1">
                  <c:v>5</c:v>
                </c:pt>
                <c:pt idx="2">
                  <c:v>5.3</c:v>
                </c:pt>
                <c:pt idx="3">
                  <c:v>5.5</c:v>
                </c:pt>
              </c:numCache>
            </c:numRef>
          </c:val>
        </c:ser>
        <c:marker val="1"/>
        <c:axId val="33324032"/>
        <c:axId val="33338112"/>
      </c:lineChart>
      <c:catAx>
        <c:axId val="33324032"/>
        <c:scaling>
          <c:orientation val="minMax"/>
        </c:scaling>
        <c:axPos val="b"/>
        <c:numFmt formatCode="General" sourceLinked="1"/>
        <c:majorTickMark val="none"/>
        <c:tickLblPos val="nextTo"/>
        <c:crossAx val="33338112"/>
        <c:crosses val="autoZero"/>
        <c:auto val="1"/>
        <c:lblAlgn val="ctr"/>
        <c:lblOffset val="100"/>
      </c:catAx>
      <c:valAx>
        <c:axId val="33338112"/>
        <c:scaling>
          <c:orientation val="minMax"/>
        </c:scaling>
        <c:axPos val="l"/>
        <c:majorGridlines/>
        <c:title>
          <c:tx>
            <c:rich>
              <a:bodyPr/>
              <a:lstStyle/>
              <a:p>
                <a:pPr>
                  <a:defRPr/>
                </a:pPr>
                <a:r>
                  <a:rPr lang="pt-BR"/>
                  <a:t>Índice</a:t>
                </a:r>
              </a:p>
            </c:rich>
          </c:tx>
          <c:layout>
            <c:manualLayout>
              <c:xMode val="edge"/>
              <c:yMode val="edge"/>
              <c:x val="9.7222222222222224E-2"/>
              <c:y val="0.39418999708369962"/>
            </c:manualLayout>
          </c:layout>
        </c:title>
        <c:numFmt formatCode="General" sourceLinked="1"/>
        <c:majorTickMark val="none"/>
        <c:tickLblPos val="nextTo"/>
        <c:crossAx val="33324032"/>
        <c:crosses val="autoZero"/>
        <c:crossBetween val="between"/>
      </c:valAx>
      <c:dTable>
        <c:showHorzBorder val="1"/>
        <c:showVertBorder val="1"/>
        <c:showOutline val="1"/>
        <c:showKeys val="1"/>
      </c:dTable>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a:t>
            </a:r>
            <a:r>
              <a:rPr lang="pt-BR" baseline="0"/>
              <a:t> 8A</a:t>
            </a:r>
            <a:endParaRPr lang="pt-BR"/>
          </a:p>
        </c:rich>
      </c:tx>
      <c:layout>
        <c:manualLayout>
          <c:xMode val="edge"/>
          <c:yMode val="edge"/>
          <c:x val="0.36015966754155732"/>
          <c:y val="0"/>
        </c:manualLayout>
      </c:layout>
    </c:title>
    <c:plotArea>
      <c:layout/>
      <c:barChart>
        <c:barDir val="col"/>
        <c:grouping val="clustered"/>
        <c:ser>
          <c:idx val="0"/>
          <c:order val="0"/>
          <c:tx>
            <c:strRef>
              <c:f>Plan3!$A$3:$A$3</c:f>
              <c:strCache>
                <c:ptCount val="1"/>
                <c:pt idx="0">
                  <c:v>Meta  </c:v>
                </c:pt>
              </c:strCache>
            </c:strRef>
          </c:tx>
          <c:cat>
            <c:numRef>
              <c:f>Plan3!$B$2:$G$2</c:f>
              <c:numCache>
                <c:formatCode>General</c:formatCode>
                <c:ptCount val="6"/>
                <c:pt idx="0">
                  <c:v>2016</c:v>
                </c:pt>
                <c:pt idx="1">
                  <c:v>2017</c:v>
                </c:pt>
                <c:pt idx="2">
                  <c:v>2018</c:v>
                </c:pt>
                <c:pt idx="3">
                  <c:v>2019</c:v>
                </c:pt>
                <c:pt idx="4">
                  <c:v>2020</c:v>
                </c:pt>
                <c:pt idx="5">
                  <c:v>2021</c:v>
                </c:pt>
              </c:numCache>
            </c:numRef>
          </c:cat>
          <c:val>
            <c:numRef>
              <c:f>Plan3!$B$3:$G$3</c:f>
              <c:numCache>
                <c:formatCode>0%</c:formatCode>
                <c:ptCount val="6"/>
                <c:pt idx="0">
                  <c:v>0.70000000000000062</c:v>
                </c:pt>
                <c:pt idx="1">
                  <c:v>0.70000000000000062</c:v>
                </c:pt>
                <c:pt idx="2">
                  <c:v>0.70000000000000062</c:v>
                </c:pt>
                <c:pt idx="3">
                  <c:v>0.70000000000000062</c:v>
                </c:pt>
                <c:pt idx="4">
                  <c:v>0.70000000000000062</c:v>
                </c:pt>
                <c:pt idx="5">
                  <c:v>0.70000000000000062</c:v>
                </c:pt>
              </c:numCache>
            </c:numRef>
          </c:val>
        </c:ser>
        <c:ser>
          <c:idx val="1"/>
          <c:order val="1"/>
          <c:tx>
            <c:strRef>
              <c:f>Plan3!$A$4:$A$4</c:f>
              <c:strCache>
                <c:ptCount val="1"/>
                <c:pt idx="0">
                  <c:v>alcançado</c:v>
                </c:pt>
              </c:strCache>
            </c:strRef>
          </c:tx>
          <c:cat>
            <c:numRef>
              <c:f>Plan3!$B$2:$G$2</c:f>
              <c:numCache>
                <c:formatCode>General</c:formatCode>
                <c:ptCount val="6"/>
                <c:pt idx="0">
                  <c:v>2016</c:v>
                </c:pt>
                <c:pt idx="1">
                  <c:v>2017</c:v>
                </c:pt>
                <c:pt idx="2">
                  <c:v>2018</c:v>
                </c:pt>
                <c:pt idx="3">
                  <c:v>2019</c:v>
                </c:pt>
                <c:pt idx="4">
                  <c:v>2020</c:v>
                </c:pt>
                <c:pt idx="5">
                  <c:v>2021</c:v>
                </c:pt>
              </c:numCache>
            </c:numRef>
          </c:cat>
          <c:val>
            <c:numRef>
              <c:f>Plan3!$B$4:$G$4</c:f>
              <c:numCache>
                <c:formatCode>0%</c:formatCode>
                <c:ptCount val="6"/>
                <c:pt idx="0" formatCode="0.00%">
                  <c:v>0.47000000000000008</c:v>
                </c:pt>
                <c:pt idx="1">
                  <c:v>0.5</c:v>
                </c:pt>
                <c:pt idx="2">
                  <c:v>0.55000000000000004</c:v>
                </c:pt>
                <c:pt idx="3">
                  <c:v>0.60000000000000064</c:v>
                </c:pt>
                <c:pt idx="4">
                  <c:v>0.65000000000000135</c:v>
                </c:pt>
                <c:pt idx="5">
                  <c:v>0.70000000000000062</c:v>
                </c:pt>
              </c:numCache>
            </c:numRef>
          </c:val>
        </c:ser>
        <c:axId val="33241728"/>
        <c:axId val="33259904"/>
      </c:barChart>
      <c:catAx>
        <c:axId val="33241728"/>
        <c:scaling>
          <c:orientation val="minMax"/>
        </c:scaling>
        <c:axPos val="b"/>
        <c:numFmt formatCode="General" sourceLinked="1"/>
        <c:majorTickMark val="none"/>
        <c:tickLblPos val="nextTo"/>
        <c:crossAx val="33259904"/>
        <c:crosses val="autoZero"/>
        <c:auto val="1"/>
        <c:lblAlgn val="ctr"/>
        <c:lblOffset val="100"/>
      </c:catAx>
      <c:valAx>
        <c:axId val="33259904"/>
        <c:scaling>
          <c:orientation val="minMax"/>
        </c:scaling>
        <c:axPos val="l"/>
        <c:majorGridlines/>
        <c:title>
          <c:tx>
            <c:rich>
              <a:bodyPr/>
              <a:lstStyle/>
              <a:p>
                <a:pPr>
                  <a:defRPr/>
                </a:pPr>
                <a:r>
                  <a:rPr lang="pt-BR"/>
                  <a:t>Porcentagem</a:t>
                </a:r>
              </a:p>
            </c:rich>
          </c:tx>
          <c:layout/>
        </c:title>
        <c:numFmt formatCode="0%" sourceLinked="1"/>
        <c:majorTickMark val="none"/>
        <c:tickLblPos val="nextTo"/>
        <c:crossAx val="33241728"/>
        <c:crosses val="autoZero"/>
        <c:crossBetween val="between"/>
      </c:valAx>
      <c:dTable>
        <c:showHorzBorder val="1"/>
        <c:showVertBorder val="1"/>
        <c:showOutline val="1"/>
        <c:showKeys val="1"/>
      </c:dTable>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a:t>
            </a:r>
            <a:r>
              <a:rPr lang="pt-BR" baseline="0"/>
              <a:t> 8B</a:t>
            </a:r>
            <a:endParaRPr lang="pt-BR"/>
          </a:p>
        </c:rich>
      </c:tx>
      <c:layout/>
    </c:title>
    <c:plotArea>
      <c:layout/>
      <c:barChart>
        <c:barDir val="col"/>
        <c:grouping val="clustered"/>
        <c:ser>
          <c:idx val="0"/>
          <c:order val="0"/>
          <c:tx>
            <c:strRef>
              <c:f>Plan3!$A$21</c:f>
              <c:strCache>
                <c:ptCount val="1"/>
                <c:pt idx="0">
                  <c:v>Meta  </c:v>
                </c:pt>
              </c:strCache>
            </c:strRef>
          </c:tx>
          <c:cat>
            <c:strRef>
              <c:f>Plan3!$B$19:$G$20</c:f>
              <c:strCache>
                <c:ptCount val="6"/>
                <c:pt idx="0">
                  <c:v>2016</c:v>
                </c:pt>
                <c:pt idx="1">
                  <c:v>2017</c:v>
                </c:pt>
                <c:pt idx="2">
                  <c:v>2018</c:v>
                </c:pt>
                <c:pt idx="3">
                  <c:v>2019</c:v>
                </c:pt>
                <c:pt idx="4">
                  <c:v>2020</c:v>
                </c:pt>
                <c:pt idx="5">
                  <c:v>2021</c:v>
                </c:pt>
              </c:strCache>
            </c:strRef>
          </c:cat>
          <c:val>
            <c:numRef>
              <c:f>Plan3!$B$21:$G$21</c:f>
              <c:numCache>
                <c:formatCode>0%</c:formatCode>
                <c:ptCount val="6"/>
                <c:pt idx="0">
                  <c:v>0.2</c:v>
                </c:pt>
                <c:pt idx="1">
                  <c:v>0.2</c:v>
                </c:pt>
                <c:pt idx="2">
                  <c:v>0.2</c:v>
                </c:pt>
                <c:pt idx="3">
                  <c:v>0.2</c:v>
                </c:pt>
                <c:pt idx="4">
                  <c:v>0.2</c:v>
                </c:pt>
                <c:pt idx="5">
                  <c:v>0.2</c:v>
                </c:pt>
              </c:numCache>
            </c:numRef>
          </c:val>
        </c:ser>
        <c:ser>
          <c:idx val="1"/>
          <c:order val="1"/>
          <c:tx>
            <c:strRef>
              <c:f>Plan3!$A$22</c:f>
              <c:strCache>
                <c:ptCount val="1"/>
                <c:pt idx="0">
                  <c:v>alcançado</c:v>
                </c:pt>
              </c:strCache>
            </c:strRef>
          </c:tx>
          <c:cat>
            <c:strRef>
              <c:f>Plan3!$B$19:$G$20</c:f>
              <c:strCache>
                <c:ptCount val="6"/>
                <c:pt idx="0">
                  <c:v>2016</c:v>
                </c:pt>
                <c:pt idx="1">
                  <c:v>2017</c:v>
                </c:pt>
                <c:pt idx="2">
                  <c:v>2018</c:v>
                </c:pt>
                <c:pt idx="3">
                  <c:v>2019</c:v>
                </c:pt>
                <c:pt idx="4">
                  <c:v>2020</c:v>
                </c:pt>
                <c:pt idx="5">
                  <c:v>2021</c:v>
                </c:pt>
              </c:strCache>
            </c:strRef>
          </c:cat>
          <c:val>
            <c:numRef>
              <c:f>Plan3!$B$22:$G$22</c:f>
              <c:numCache>
                <c:formatCode>0%</c:formatCode>
                <c:ptCount val="6"/>
                <c:pt idx="0" formatCode="0.00%">
                  <c:v>0.56799999999999995</c:v>
                </c:pt>
                <c:pt idx="1">
                  <c:v>0.5</c:v>
                </c:pt>
                <c:pt idx="2">
                  <c:v>0.43000000000000038</c:v>
                </c:pt>
                <c:pt idx="3">
                  <c:v>0.35000000000000031</c:v>
                </c:pt>
                <c:pt idx="4">
                  <c:v>0.28000000000000008</c:v>
                </c:pt>
                <c:pt idx="5">
                  <c:v>0.2</c:v>
                </c:pt>
              </c:numCache>
            </c:numRef>
          </c:val>
        </c:ser>
        <c:axId val="33282304"/>
        <c:axId val="33357824"/>
      </c:barChart>
      <c:catAx>
        <c:axId val="33282304"/>
        <c:scaling>
          <c:orientation val="minMax"/>
        </c:scaling>
        <c:axPos val="b"/>
        <c:majorTickMark val="none"/>
        <c:tickLblPos val="nextTo"/>
        <c:crossAx val="33357824"/>
        <c:crosses val="autoZero"/>
        <c:auto val="1"/>
        <c:lblAlgn val="ctr"/>
        <c:lblOffset val="100"/>
      </c:catAx>
      <c:valAx>
        <c:axId val="33357824"/>
        <c:scaling>
          <c:orientation val="minMax"/>
        </c:scaling>
        <c:axPos val="l"/>
        <c:majorGridlines/>
        <c:title>
          <c:tx>
            <c:rich>
              <a:bodyPr/>
              <a:lstStyle/>
              <a:p>
                <a:pPr>
                  <a:defRPr/>
                </a:pPr>
                <a:r>
                  <a:rPr lang="pt-BR"/>
                  <a:t>Porcentagem</a:t>
                </a:r>
              </a:p>
            </c:rich>
          </c:tx>
          <c:layout/>
        </c:title>
        <c:numFmt formatCode="0%" sourceLinked="1"/>
        <c:majorTickMark val="none"/>
        <c:tickLblPos val="nextTo"/>
        <c:crossAx val="33282304"/>
        <c:crosses val="autoZero"/>
        <c:crossBetween val="between"/>
      </c:valAx>
      <c:dTable>
        <c:showHorzBorder val="1"/>
        <c:showVertBorder val="1"/>
        <c:showOutline val="1"/>
        <c:showKeys val="1"/>
      </c:dTable>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a:t>
            </a:r>
            <a:r>
              <a:rPr lang="pt-BR" baseline="0"/>
              <a:t> 8C</a:t>
            </a:r>
            <a:endParaRPr lang="pt-BR"/>
          </a:p>
        </c:rich>
      </c:tx>
      <c:layout/>
    </c:title>
    <c:plotArea>
      <c:layout/>
      <c:barChart>
        <c:barDir val="col"/>
        <c:grouping val="clustered"/>
        <c:ser>
          <c:idx val="0"/>
          <c:order val="0"/>
          <c:tx>
            <c:strRef>
              <c:f>Plan1!$A$4</c:f>
              <c:strCache>
                <c:ptCount val="1"/>
                <c:pt idx="0">
                  <c:v>Meta  </c:v>
                </c:pt>
              </c:strCache>
            </c:strRef>
          </c:tx>
          <c:cat>
            <c:numRef>
              <c:f>Plan1!$B$3:$J$3</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Plan1!$B$4:$J$4</c:f>
              <c:numCache>
                <c:formatCode>0%</c:formatCode>
                <c:ptCount val="9"/>
                <c:pt idx="0">
                  <c:v>0.5</c:v>
                </c:pt>
                <c:pt idx="1">
                  <c:v>0.5</c:v>
                </c:pt>
                <c:pt idx="2">
                  <c:v>0.5</c:v>
                </c:pt>
                <c:pt idx="3">
                  <c:v>0.5</c:v>
                </c:pt>
                <c:pt idx="4">
                  <c:v>0.5</c:v>
                </c:pt>
                <c:pt idx="5">
                  <c:v>0.5</c:v>
                </c:pt>
                <c:pt idx="6">
                  <c:v>0.5</c:v>
                </c:pt>
                <c:pt idx="7">
                  <c:v>0.5</c:v>
                </c:pt>
                <c:pt idx="8">
                  <c:v>0.5</c:v>
                </c:pt>
              </c:numCache>
            </c:numRef>
          </c:val>
        </c:ser>
        <c:ser>
          <c:idx val="1"/>
          <c:order val="1"/>
          <c:tx>
            <c:strRef>
              <c:f>Plan1!$A$5</c:f>
              <c:strCache>
                <c:ptCount val="1"/>
                <c:pt idx="0">
                  <c:v>alcançado</c:v>
                </c:pt>
              </c:strCache>
            </c:strRef>
          </c:tx>
          <c:cat>
            <c:numRef>
              <c:f>Plan1!$B$3:$J$3</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Plan1!$B$5:$J$5</c:f>
              <c:numCache>
                <c:formatCode>0%</c:formatCode>
                <c:ptCount val="9"/>
                <c:pt idx="0" formatCode="0.00%">
                  <c:v>0.81799999999999995</c:v>
                </c:pt>
                <c:pt idx="1">
                  <c:v>0.77000000000000113</c:v>
                </c:pt>
                <c:pt idx="2">
                  <c:v>0.73000000000000065</c:v>
                </c:pt>
                <c:pt idx="3">
                  <c:v>0.70000000000000062</c:v>
                </c:pt>
                <c:pt idx="4">
                  <c:v>0.66000000000000125</c:v>
                </c:pt>
                <c:pt idx="5">
                  <c:v>0.62000000000000099</c:v>
                </c:pt>
                <c:pt idx="6">
                  <c:v>0.58000000000000007</c:v>
                </c:pt>
                <c:pt idx="7">
                  <c:v>0.53</c:v>
                </c:pt>
                <c:pt idx="8">
                  <c:v>0.5</c:v>
                </c:pt>
              </c:numCache>
            </c:numRef>
          </c:val>
        </c:ser>
        <c:axId val="33388416"/>
        <c:axId val="33389952"/>
      </c:barChart>
      <c:catAx>
        <c:axId val="33388416"/>
        <c:scaling>
          <c:orientation val="minMax"/>
        </c:scaling>
        <c:axPos val="b"/>
        <c:numFmt formatCode="General" sourceLinked="1"/>
        <c:majorTickMark val="none"/>
        <c:tickLblPos val="nextTo"/>
        <c:crossAx val="33389952"/>
        <c:crosses val="autoZero"/>
        <c:auto val="1"/>
        <c:lblAlgn val="ctr"/>
        <c:lblOffset val="100"/>
      </c:catAx>
      <c:valAx>
        <c:axId val="33389952"/>
        <c:scaling>
          <c:orientation val="minMax"/>
        </c:scaling>
        <c:axPos val="l"/>
        <c:majorGridlines/>
        <c:title>
          <c:tx>
            <c:rich>
              <a:bodyPr/>
              <a:lstStyle/>
              <a:p>
                <a:pPr>
                  <a:defRPr/>
                </a:pPr>
                <a:r>
                  <a:rPr lang="pt-BR"/>
                  <a:t>Porcentagem</a:t>
                </a:r>
              </a:p>
            </c:rich>
          </c:tx>
          <c:layout/>
        </c:title>
        <c:numFmt formatCode="0%" sourceLinked="1"/>
        <c:majorTickMark val="none"/>
        <c:tickLblPos val="nextTo"/>
        <c:crossAx val="33388416"/>
        <c:crosses val="autoZero"/>
        <c:crossBetween val="between"/>
      </c:valAx>
      <c:dTable>
        <c:showHorzBorder val="1"/>
        <c:showVertBorder val="1"/>
        <c:showOutline val="1"/>
        <c:showKeys val="1"/>
      </c:dTable>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8D</a:t>
            </a:r>
          </a:p>
        </c:rich>
      </c:tx>
      <c:layout/>
    </c:title>
    <c:plotArea>
      <c:layout/>
      <c:lineChart>
        <c:grouping val="stacked"/>
        <c:ser>
          <c:idx val="0"/>
          <c:order val="0"/>
          <c:tx>
            <c:strRef>
              <c:f>Plan4!$A$7</c:f>
              <c:strCache>
                <c:ptCount val="1"/>
                <c:pt idx="0">
                  <c:v>meta  </c:v>
                </c:pt>
              </c:strCache>
            </c:strRef>
          </c:tx>
          <c:marker>
            <c:symbol val="none"/>
          </c:marker>
          <c:cat>
            <c:numRef>
              <c:f>Plan4!$B$6:$J$6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Plan4!$B$7:$J$7</c:f>
              <c:numCache>
                <c:formatCode>0%</c:formatCode>
                <c:ptCount val="9"/>
                <c:pt idx="0">
                  <c:v>0</c:v>
                </c:pt>
                <c:pt idx="1">
                  <c:v>0</c:v>
                </c:pt>
                <c:pt idx="2">
                  <c:v>0</c:v>
                </c:pt>
                <c:pt idx="3">
                  <c:v>0</c:v>
                </c:pt>
                <c:pt idx="4">
                  <c:v>0</c:v>
                </c:pt>
                <c:pt idx="5">
                  <c:v>0</c:v>
                </c:pt>
                <c:pt idx="6">
                  <c:v>0</c:v>
                </c:pt>
                <c:pt idx="7">
                  <c:v>0</c:v>
                </c:pt>
                <c:pt idx="8">
                  <c:v>0</c:v>
                </c:pt>
              </c:numCache>
            </c:numRef>
          </c:val>
        </c:ser>
        <c:ser>
          <c:idx val="1"/>
          <c:order val="1"/>
          <c:tx>
            <c:strRef>
              <c:f>Plan4!$A$8</c:f>
              <c:strCache>
                <c:ptCount val="1"/>
                <c:pt idx="0">
                  <c:v>alcançado</c:v>
                </c:pt>
              </c:strCache>
            </c:strRef>
          </c:tx>
          <c:marker>
            <c:symbol val="none"/>
          </c:marker>
          <c:cat>
            <c:numRef>
              <c:f>Plan4!$B$6:$J$6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Plan4!$B$8:$J$8</c:f>
              <c:numCache>
                <c:formatCode>0%</c:formatCode>
                <c:ptCount val="9"/>
                <c:pt idx="0" formatCode="0.00%">
                  <c:v>0.65300000000000136</c:v>
                </c:pt>
                <c:pt idx="1">
                  <c:v>0.55000000000000004</c:v>
                </c:pt>
                <c:pt idx="2">
                  <c:v>0.45</c:v>
                </c:pt>
                <c:pt idx="3">
                  <c:v>0.35000000000000031</c:v>
                </c:pt>
                <c:pt idx="4">
                  <c:v>0.25</c:v>
                </c:pt>
                <c:pt idx="5">
                  <c:v>0.15000000000000024</c:v>
                </c:pt>
                <c:pt idx="6">
                  <c:v>0.1</c:v>
                </c:pt>
                <c:pt idx="7">
                  <c:v>0.05</c:v>
                </c:pt>
                <c:pt idx="8">
                  <c:v>0</c:v>
                </c:pt>
              </c:numCache>
            </c:numRef>
          </c:val>
        </c:ser>
        <c:marker val="1"/>
        <c:axId val="33412608"/>
        <c:axId val="33414144"/>
      </c:lineChart>
      <c:catAx>
        <c:axId val="33412608"/>
        <c:scaling>
          <c:orientation val="minMax"/>
        </c:scaling>
        <c:axPos val="b"/>
        <c:numFmt formatCode="General" sourceLinked="1"/>
        <c:majorTickMark val="none"/>
        <c:tickLblPos val="nextTo"/>
        <c:crossAx val="33414144"/>
        <c:crosses val="autoZero"/>
        <c:auto val="1"/>
        <c:lblAlgn val="ctr"/>
        <c:lblOffset val="100"/>
      </c:catAx>
      <c:valAx>
        <c:axId val="33414144"/>
        <c:scaling>
          <c:orientation val="minMax"/>
        </c:scaling>
        <c:axPos val="l"/>
        <c:majorGridlines/>
        <c:title>
          <c:tx>
            <c:rich>
              <a:bodyPr/>
              <a:lstStyle/>
              <a:p>
                <a:pPr>
                  <a:defRPr/>
                </a:pPr>
                <a:r>
                  <a:rPr lang="pt-BR"/>
                  <a:t>POrcentagem</a:t>
                </a:r>
              </a:p>
            </c:rich>
          </c:tx>
          <c:layout/>
        </c:title>
        <c:numFmt formatCode="0%" sourceLinked="1"/>
        <c:majorTickMark val="none"/>
        <c:tickLblPos val="nextTo"/>
        <c:crossAx val="33412608"/>
        <c:crosses val="autoZero"/>
        <c:crossBetween val="between"/>
      </c:valAx>
      <c:dTable>
        <c:showHorzBorder val="1"/>
        <c:showVertBorder val="1"/>
        <c:showOutline val="1"/>
        <c:showKeys val="1"/>
      </c:dTable>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12 A</a:t>
            </a:r>
          </a:p>
        </c:rich>
      </c:tx>
      <c:layout/>
    </c:title>
    <c:view3D>
      <c:rAngAx val="1"/>
    </c:view3D>
    <c:plotArea>
      <c:layout/>
      <c:bar3DChart>
        <c:barDir val="col"/>
        <c:grouping val="clustered"/>
        <c:ser>
          <c:idx val="0"/>
          <c:order val="0"/>
          <c:tx>
            <c:strRef>
              <c:f>Plan1!$A$5</c:f>
              <c:strCache>
                <c:ptCount val="1"/>
                <c:pt idx="0">
                  <c:v>meta  </c:v>
                </c:pt>
              </c:strCache>
            </c:strRef>
          </c:tx>
          <c:cat>
            <c:numRef>
              <c:f>Plan1!$B$4:$I$4</c:f>
              <c:numCache>
                <c:formatCode>General</c:formatCode>
                <c:ptCount val="8"/>
                <c:pt idx="0">
                  <c:v>2016</c:v>
                </c:pt>
                <c:pt idx="1">
                  <c:v>2017</c:v>
                </c:pt>
                <c:pt idx="2">
                  <c:v>2018</c:v>
                </c:pt>
                <c:pt idx="3">
                  <c:v>2019</c:v>
                </c:pt>
                <c:pt idx="4">
                  <c:v>2020</c:v>
                </c:pt>
                <c:pt idx="5">
                  <c:v>2021</c:v>
                </c:pt>
                <c:pt idx="6">
                  <c:v>2022</c:v>
                </c:pt>
                <c:pt idx="7">
                  <c:v>2023</c:v>
                </c:pt>
              </c:numCache>
            </c:numRef>
          </c:cat>
          <c:val>
            <c:numRef>
              <c:f>Plan1!$B$5:$I$5</c:f>
              <c:numCache>
                <c:formatCode>0%</c:formatCode>
                <c:ptCount val="8"/>
                <c:pt idx="0">
                  <c:v>0.5</c:v>
                </c:pt>
                <c:pt idx="1">
                  <c:v>0.5</c:v>
                </c:pt>
                <c:pt idx="2">
                  <c:v>0.5</c:v>
                </c:pt>
                <c:pt idx="3">
                  <c:v>0.5</c:v>
                </c:pt>
                <c:pt idx="4">
                  <c:v>0.5</c:v>
                </c:pt>
                <c:pt idx="5">
                  <c:v>0.5</c:v>
                </c:pt>
                <c:pt idx="6">
                  <c:v>0.5</c:v>
                </c:pt>
                <c:pt idx="7">
                  <c:v>0.5</c:v>
                </c:pt>
              </c:numCache>
            </c:numRef>
          </c:val>
        </c:ser>
        <c:ser>
          <c:idx val="1"/>
          <c:order val="1"/>
          <c:tx>
            <c:strRef>
              <c:f>Plan1!$A$6</c:f>
              <c:strCache>
                <c:ptCount val="1"/>
                <c:pt idx="0">
                  <c:v>alçançdo</c:v>
                </c:pt>
              </c:strCache>
            </c:strRef>
          </c:tx>
          <c:cat>
            <c:numRef>
              <c:f>Plan1!$B$4:$I$4</c:f>
              <c:numCache>
                <c:formatCode>General</c:formatCode>
                <c:ptCount val="8"/>
                <c:pt idx="0">
                  <c:v>2016</c:v>
                </c:pt>
                <c:pt idx="1">
                  <c:v>2017</c:v>
                </c:pt>
                <c:pt idx="2">
                  <c:v>2018</c:v>
                </c:pt>
                <c:pt idx="3">
                  <c:v>2019</c:v>
                </c:pt>
                <c:pt idx="4">
                  <c:v>2020</c:v>
                </c:pt>
                <c:pt idx="5">
                  <c:v>2021</c:v>
                </c:pt>
                <c:pt idx="6">
                  <c:v>2022</c:v>
                </c:pt>
                <c:pt idx="7">
                  <c:v>2023</c:v>
                </c:pt>
              </c:numCache>
            </c:numRef>
          </c:cat>
          <c:val>
            <c:numRef>
              <c:f>Plan1!$B$6:$I$6</c:f>
              <c:numCache>
                <c:formatCode>0%</c:formatCode>
                <c:ptCount val="8"/>
                <c:pt idx="0" formatCode="0.00%">
                  <c:v>0.18400000000000019</c:v>
                </c:pt>
                <c:pt idx="1">
                  <c:v>0.21000000000000019</c:v>
                </c:pt>
                <c:pt idx="2">
                  <c:v>0.25</c:v>
                </c:pt>
                <c:pt idx="3">
                  <c:v>0.30000000000000032</c:v>
                </c:pt>
                <c:pt idx="4">
                  <c:v>0.35000000000000031</c:v>
                </c:pt>
                <c:pt idx="5">
                  <c:v>0.4</c:v>
                </c:pt>
                <c:pt idx="6">
                  <c:v>0.45</c:v>
                </c:pt>
                <c:pt idx="7">
                  <c:v>0.5</c:v>
                </c:pt>
              </c:numCache>
            </c:numRef>
          </c:val>
        </c:ser>
        <c:shape val="box"/>
        <c:axId val="33588352"/>
        <c:axId val="33589888"/>
        <c:axId val="0"/>
      </c:bar3DChart>
      <c:catAx>
        <c:axId val="33588352"/>
        <c:scaling>
          <c:orientation val="minMax"/>
        </c:scaling>
        <c:axPos val="b"/>
        <c:numFmt formatCode="General" sourceLinked="1"/>
        <c:majorTickMark val="none"/>
        <c:tickLblPos val="nextTo"/>
        <c:crossAx val="33589888"/>
        <c:crosses val="autoZero"/>
        <c:auto val="1"/>
        <c:lblAlgn val="ctr"/>
        <c:lblOffset val="100"/>
      </c:catAx>
      <c:valAx>
        <c:axId val="33589888"/>
        <c:scaling>
          <c:orientation val="minMax"/>
        </c:scaling>
        <c:axPos val="l"/>
        <c:majorGridlines/>
        <c:title>
          <c:tx>
            <c:rich>
              <a:bodyPr/>
              <a:lstStyle/>
              <a:p>
                <a:pPr>
                  <a:defRPr/>
                </a:pPr>
                <a:r>
                  <a:rPr lang="pt-BR"/>
                  <a:t>Porcentagem</a:t>
                </a:r>
              </a:p>
            </c:rich>
          </c:tx>
          <c:layout/>
        </c:title>
        <c:numFmt formatCode="0%" sourceLinked="1"/>
        <c:majorTickMark val="none"/>
        <c:tickLblPos val="nextTo"/>
        <c:crossAx val="33588352"/>
        <c:crosses val="autoZero"/>
        <c:crossBetween val="between"/>
      </c:valAx>
      <c:dTable>
        <c:showHorzBorder val="1"/>
        <c:showVertBorder val="1"/>
        <c:showOutline val="1"/>
        <c:showKeys val="1"/>
      </c:dTable>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lgn="ctr">
              <a:defRPr/>
            </a:pPr>
            <a:r>
              <a:rPr lang="pt-BR"/>
              <a:t>Indicador</a:t>
            </a:r>
            <a:r>
              <a:rPr lang="pt-BR" baseline="0"/>
              <a:t> 12 B</a:t>
            </a:r>
            <a:endParaRPr lang="pt-BR"/>
          </a:p>
        </c:rich>
      </c:tx>
      <c:layout/>
    </c:title>
    <c:view3D>
      <c:rAngAx val="1"/>
    </c:view3D>
    <c:plotArea>
      <c:layout/>
      <c:bar3DChart>
        <c:barDir val="col"/>
        <c:grouping val="clustered"/>
        <c:ser>
          <c:idx val="0"/>
          <c:order val="0"/>
          <c:tx>
            <c:strRef>
              <c:f>Plan1!$Q$6</c:f>
              <c:strCache>
                <c:ptCount val="1"/>
                <c:pt idx="0">
                  <c:v>meta  </c:v>
                </c:pt>
              </c:strCache>
            </c:strRef>
          </c:tx>
          <c:cat>
            <c:numRef>
              <c:f>Plan1!$R$5:$X$5</c:f>
              <c:numCache>
                <c:formatCode>General</c:formatCode>
                <c:ptCount val="7"/>
                <c:pt idx="0">
                  <c:v>2016</c:v>
                </c:pt>
                <c:pt idx="1">
                  <c:v>2017</c:v>
                </c:pt>
                <c:pt idx="2">
                  <c:v>2018</c:v>
                </c:pt>
                <c:pt idx="3">
                  <c:v>2019</c:v>
                </c:pt>
                <c:pt idx="4">
                  <c:v>2020</c:v>
                </c:pt>
                <c:pt idx="5">
                  <c:v>2021</c:v>
                </c:pt>
                <c:pt idx="6">
                  <c:v>2022</c:v>
                </c:pt>
              </c:numCache>
            </c:numRef>
          </c:cat>
          <c:val>
            <c:numRef>
              <c:f>Plan1!$R$6:$X$6</c:f>
              <c:numCache>
                <c:formatCode>0%</c:formatCode>
                <c:ptCount val="7"/>
                <c:pt idx="0">
                  <c:v>0.33000000000000052</c:v>
                </c:pt>
                <c:pt idx="1">
                  <c:v>0.33000000000000052</c:v>
                </c:pt>
                <c:pt idx="2">
                  <c:v>0.33000000000000052</c:v>
                </c:pt>
                <c:pt idx="3">
                  <c:v>0.33000000000000052</c:v>
                </c:pt>
                <c:pt idx="4">
                  <c:v>0.33000000000000052</c:v>
                </c:pt>
                <c:pt idx="5">
                  <c:v>0.33000000000000052</c:v>
                </c:pt>
                <c:pt idx="6">
                  <c:v>0.33000000000000052</c:v>
                </c:pt>
              </c:numCache>
            </c:numRef>
          </c:val>
        </c:ser>
        <c:ser>
          <c:idx val="1"/>
          <c:order val="1"/>
          <c:tx>
            <c:strRef>
              <c:f>Plan1!$Q$7</c:f>
              <c:strCache>
                <c:ptCount val="1"/>
                <c:pt idx="0">
                  <c:v>alçançdo</c:v>
                </c:pt>
              </c:strCache>
            </c:strRef>
          </c:tx>
          <c:cat>
            <c:numRef>
              <c:f>Plan1!$R$5:$X$5</c:f>
              <c:numCache>
                <c:formatCode>General</c:formatCode>
                <c:ptCount val="7"/>
                <c:pt idx="0">
                  <c:v>2016</c:v>
                </c:pt>
                <c:pt idx="1">
                  <c:v>2017</c:v>
                </c:pt>
                <c:pt idx="2">
                  <c:v>2018</c:v>
                </c:pt>
                <c:pt idx="3">
                  <c:v>2019</c:v>
                </c:pt>
                <c:pt idx="4">
                  <c:v>2020</c:v>
                </c:pt>
                <c:pt idx="5">
                  <c:v>2021</c:v>
                </c:pt>
                <c:pt idx="6">
                  <c:v>2022</c:v>
                </c:pt>
              </c:numCache>
            </c:numRef>
          </c:cat>
          <c:val>
            <c:numRef>
              <c:f>Plan1!$R$7:$X$7</c:f>
              <c:numCache>
                <c:formatCode>0%</c:formatCode>
                <c:ptCount val="7"/>
                <c:pt idx="0" formatCode="0.00%">
                  <c:v>0.17600000000000018</c:v>
                </c:pt>
                <c:pt idx="1">
                  <c:v>0.19</c:v>
                </c:pt>
                <c:pt idx="2">
                  <c:v>0.22</c:v>
                </c:pt>
                <c:pt idx="3">
                  <c:v>0.25</c:v>
                </c:pt>
                <c:pt idx="4">
                  <c:v>0.28000000000000008</c:v>
                </c:pt>
                <c:pt idx="5">
                  <c:v>0.31000000000000039</c:v>
                </c:pt>
                <c:pt idx="6">
                  <c:v>0.33000000000000052</c:v>
                </c:pt>
              </c:numCache>
            </c:numRef>
          </c:val>
        </c:ser>
        <c:shape val="box"/>
        <c:axId val="33768576"/>
        <c:axId val="33770112"/>
        <c:axId val="0"/>
      </c:bar3DChart>
      <c:catAx>
        <c:axId val="33768576"/>
        <c:scaling>
          <c:orientation val="minMax"/>
        </c:scaling>
        <c:axPos val="b"/>
        <c:numFmt formatCode="General" sourceLinked="1"/>
        <c:majorTickMark val="none"/>
        <c:tickLblPos val="nextTo"/>
        <c:crossAx val="33770112"/>
        <c:crosses val="autoZero"/>
        <c:auto val="1"/>
        <c:lblAlgn val="ctr"/>
        <c:lblOffset val="100"/>
      </c:catAx>
      <c:valAx>
        <c:axId val="33770112"/>
        <c:scaling>
          <c:orientation val="minMax"/>
        </c:scaling>
        <c:axPos val="l"/>
        <c:majorGridlines/>
        <c:title>
          <c:tx>
            <c:rich>
              <a:bodyPr/>
              <a:lstStyle/>
              <a:p>
                <a:pPr>
                  <a:defRPr/>
                </a:pPr>
                <a:r>
                  <a:rPr lang="pt-BR"/>
                  <a:t>Porcentagem</a:t>
                </a:r>
              </a:p>
            </c:rich>
          </c:tx>
          <c:layout/>
        </c:title>
        <c:numFmt formatCode="0%" sourceLinked="1"/>
        <c:majorTickMark val="none"/>
        <c:tickLblPos val="nextTo"/>
        <c:crossAx val="33768576"/>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1B</a:t>
            </a:r>
          </a:p>
        </c:rich>
      </c:tx>
      <c:layout/>
    </c:title>
    <c:plotArea>
      <c:layout/>
      <c:areaChart>
        <c:grouping val="stacked"/>
        <c:ser>
          <c:idx val="0"/>
          <c:order val="0"/>
          <c:cat>
            <c:multiLvlStrRef>
              <c:f>Plan1!$A$3:$D$4</c:f>
              <c:multiLvlStrCache>
                <c:ptCount val="4"/>
                <c:lvl>
                  <c:pt idx="0">
                    <c:v>Meta</c:v>
                  </c:pt>
                  <c:pt idx="1">
                    <c:v>Alcançado</c:v>
                  </c:pt>
                  <c:pt idx="2">
                    <c:v>Meta</c:v>
                  </c:pt>
                  <c:pt idx="3">
                    <c:v>Alcançado</c:v>
                  </c:pt>
                </c:lvl>
                <c:lvl>
                  <c:pt idx="0">
                    <c:v>Ano 2016</c:v>
                  </c:pt>
                  <c:pt idx="2">
                    <c:v>Ano 2017</c:v>
                  </c:pt>
                </c:lvl>
              </c:multiLvlStrCache>
            </c:multiLvlStrRef>
          </c:cat>
          <c:val>
            <c:numRef>
              <c:f>Plan1!$A$5:$D$5</c:f>
              <c:numCache>
                <c:formatCode>General</c:formatCode>
                <c:ptCount val="4"/>
                <c:pt idx="0">
                  <c:v>50</c:v>
                </c:pt>
                <c:pt idx="1">
                  <c:v>46</c:v>
                </c:pt>
                <c:pt idx="2">
                  <c:v>50</c:v>
                </c:pt>
                <c:pt idx="3">
                  <c:v>50</c:v>
                </c:pt>
              </c:numCache>
            </c:numRef>
          </c:val>
        </c:ser>
        <c:axId val="80901248"/>
        <c:axId val="80902784"/>
      </c:areaChart>
      <c:catAx>
        <c:axId val="80901248"/>
        <c:scaling>
          <c:orientation val="minMax"/>
        </c:scaling>
        <c:axPos val="b"/>
        <c:majorTickMark val="none"/>
        <c:tickLblPos val="nextTo"/>
        <c:crossAx val="80902784"/>
        <c:crosses val="autoZero"/>
        <c:auto val="1"/>
        <c:lblAlgn val="ctr"/>
        <c:lblOffset val="100"/>
      </c:catAx>
      <c:valAx>
        <c:axId val="80902784"/>
        <c:scaling>
          <c:orientation val="minMax"/>
        </c:scaling>
        <c:axPos val="l"/>
        <c:majorGridlines/>
        <c:numFmt formatCode="General" sourceLinked="1"/>
        <c:majorTickMark val="none"/>
        <c:tickLblPos val="nextTo"/>
        <c:crossAx val="80901248"/>
        <c:crosses val="autoZero"/>
        <c:crossBetween val="midCat"/>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2A</a:t>
            </a:r>
          </a:p>
        </c:rich>
      </c:tx>
      <c:layout/>
    </c:title>
    <c:view3D>
      <c:perspective val="30"/>
    </c:view3D>
    <c:plotArea>
      <c:layout/>
      <c:area3DChart>
        <c:grouping val="stacked"/>
        <c:ser>
          <c:idx val="0"/>
          <c:order val="0"/>
          <c:tx>
            <c:strRef>
              <c:f>Plan1!$A$2</c:f>
              <c:strCache>
                <c:ptCount val="1"/>
                <c:pt idx="0">
                  <c:v>Meta</c:v>
                </c:pt>
              </c:strCache>
            </c:strRef>
          </c:tx>
          <c:cat>
            <c:numRef>
              <c:f>Plan1!$B$1:$C$1</c:f>
              <c:numCache>
                <c:formatCode>General</c:formatCode>
                <c:ptCount val="2"/>
                <c:pt idx="0">
                  <c:v>2016</c:v>
                </c:pt>
                <c:pt idx="1">
                  <c:v>2017</c:v>
                </c:pt>
              </c:numCache>
            </c:numRef>
          </c:cat>
          <c:val>
            <c:numRef>
              <c:f>Plan1!$B$2:$C$2</c:f>
              <c:numCache>
                <c:formatCode>General</c:formatCode>
                <c:ptCount val="2"/>
                <c:pt idx="0">
                  <c:v>100</c:v>
                </c:pt>
                <c:pt idx="1">
                  <c:v>100</c:v>
                </c:pt>
              </c:numCache>
            </c:numRef>
          </c:val>
        </c:ser>
        <c:ser>
          <c:idx val="1"/>
          <c:order val="1"/>
          <c:tx>
            <c:strRef>
              <c:f>Plan1!$A$3</c:f>
              <c:strCache>
                <c:ptCount val="1"/>
                <c:pt idx="0">
                  <c:v>Alcançado</c:v>
                </c:pt>
              </c:strCache>
            </c:strRef>
          </c:tx>
          <c:cat>
            <c:numRef>
              <c:f>Plan1!$B$1:$C$1</c:f>
              <c:numCache>
                <c:formatCode>General</c:formatCode>
                <c:ptCount val="2"/>
                <c:pt idx="0">
                  <c:v>2016</c:v>
                </c:pt>
                <c:pt idx="1">
                  <c:v>2017</c:v>
                </c:pt>
              </c:numCache>
            </c:numRef>
          </c:cat>
          <c:val>
            <c:numRef>
              <c:f>Plan1!$B$3:$C$3</c:f>
              <c:numCache>
                <c:formatCode>General</c:formatCode>
                <c:ptCount val="2"/>
                <c:pt idx="0">
                  <c:v>99.1</c:v>
                </c:pt>
                <c:pt idx="1">
                  <c:v>100</c:v>
                </c:pt>
              </c:numCache>
            </c:numRef>
          </c:val>
        </c:ser>
        <c:axId val="80922112"/>
        <c:axId val="80923648"/>
        <c:axId val="0"/>
      </c:area3DChart>
      <c:catAx>
        <c:axId val="80922112"/>
        <c:scaling>
          <c:orientation val="minMax"/>
        </c:scaling>
        <c:axPos val="b"/>
        <c:numFmt formatCode="General" sourceLinked="1"/>
        <c:majorTickMark val="none"/>
        <c:tickLblPos val="nextTo"/>
        <c:crossAx val="80923648"/>
        <c:crosses val="autoZero"/>
        <c:auto val="1"/>
        <c:lblAlgn val="ctr"/>
        <c:lblOffset val="100"/>
      </c:catAx>
      <c:valAx>
        <c:axId val="80923648"/>
        <c:scaling>
          <c:orientation val="minMax"/>
        </c:scaling>
        <c:axPos val="l"/>
        <c:majorGridlines/>
        <c:numFmt formatCode="General" sourceLinked="1"/>
        <c:majorTickMark val="none"/>
        <c:tickLblPos val="nextTo"/>
        <c:crossAx val="80922112"/>
        <c:crosses val="autoZero"/>
        <c:crossBetween val="midCat"/>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2B</a:t>
            </a:r>
          </a:p>
        </c:rich>
      </c:tx>
      <c:layout/>
    </c:title>
    <c:plotArea>
      <c:layout/>
      <c:areaChart>
        <c:grouping val="stacked"/>
        <c:ser>
          <c:idx val="0"/>
          <c:order val="0"/>
          <c:tx>
            <c:strRef>
              <c:f>Plan1!$B$29</c:f>
              <c:strCache>
                <c:ptCount val="1"/>
                <c:pt idx="0">
                  <c:v>Meta</c:v>
                </c:pt>
              </c:strCache>
            </c:strRef>
          </c:tx>
          <c:cat>
            <c:strRef>
              <c:f>Plan1!$C$27:$I$28</c:f>
              <c:strCache>
                <c:ptCount val="7"/>
                <c:pt idx="0">
                  <c:v>2016</c:v>
                </c:pt>
                <c:pt idx="1">
                  <c:v>2017</c:v>
                </c:pt>
                <c:pt idx="2">
                  <c:v>2018</c:v>
                </c:pt>
                <c:pt idx="3">
                  <c:v>2019</c:v>
                </c:pt>
                <c:pt idx="4">
                  <c:v>2020</c:v>
                </c:pt>
                <c:pt idx="5">
                  <c:v>2021</c:v>
                </c:pt>
                <c:pt idx="6">
                  <c:v>2022</c:v>
                </c:pt>
              </c:strCache>
            </c:strRef>
          </c:cat>
          <c:val>
            <c:numRef>
              <c:f>Plan1!$C$29:$I$29</c:f>
              <c:numCache>
                <c:formatCode>0.00%</c:formatCode>
                <c:ptCount val="7"/>
                <c:pt idx="0">
                  <c:v>0.95800000000000063</c:v>
                </c:pt>
                <c:pt idx="1">
                  <c:v>0.95800000000000063</c:v>
                </c:pt>
                <c:pt idx="2">
                  <c:v>0.95800000000000063</c:v>
                </c:pt>
                <c:pt idx="3">
                  <c:v>0.95800000000000063</c:v>
                </c:pt>
                <c:pt idx="4">
                  <c:v>0.95800000000000063</c:v>
                </c:pt>
                <c:pt idx="5">
                  <c:v>0.95800000000000063</c:v>
                </c:pt>
                <c:pt idx="6">
                  <c:v>0.95800000000000063</c:v>
                </c:pt>
              </c:numCache>
            </c:numRef>
          </c:val>
        </c:ser>
        <c:ser>
          <c:idx val="1"/>
          <c:order val="1"/>
          <c:tx>
            <c:strRef>
              <c:f>Plan1!$B$30</c:f>
              <c:strCache>
                <c:ptCount val="1"/>
                <c:pt idx="0">
                  <c:v>Alcançado</c:v>
                </c:pt>
              </c:strCache>
            </c:strRef>
          </c:tx>
          <c:cat>
            <c:strRef>
              <c:f>Plan1!$C$27:$I$28</c:f>
              <c:strCache>
                <c:ptCount val="7"/>
                <c:pt idx="0">
                  <c:v>2016</c:v>
                </c:pt>
                <c:pt idx="1">
                  <c:v>2017</c:v>
                </c:pt>
                <c:pt idx="2">
                  <c:v>2018</c:v>
                </c:pt>
                <c:pt idx="3">
                  <c:v>2019</c:v>
                </c:pt>
                <c:pt idx="4">
                  <c:v>2020</c:v>
                </c:pt>
                <c:pt idx="5">
                  <c:v>2021</c:v>
                </c:pt>
                <c:pt idx="6">
                  <c:v>2022</c:v>
                </c:pt>
              </c:strCache>
            </c:strRef>
          </c:cat>
          <c:val>
            <c:numRef>
              <c:f>Plan1!$C$30:$I$30</c:f>
              <c:numCache>
                <c:formatCode>0%</c:formatCode>
                <c:ptCount val="7"/>
                <c:pt idx="0" formatCode="0.00%">
                  <c:v>0.6677000000000024</c:v>
                </c:pt>
                <c:pt idx="1">
                  <c:v>0.70000000000000062</c:v>
                </c:pt>
                <c:pt idx="2">
                  <c:v>0.75000000000000167</c:v>
                </c:pt>
                <c:pt idx="3">
                  <c:v>0.8</c:v>
                </c:pt>
                <c:pt idx="4">
                  <c:v>0.85000000000000064</c:v>
                </c:pt>
                <c:pt idx="5">
                  <c:v>0.9</c:v>
                </c:pt>
                <c:pt idx="6" formatCode="0.00%">
                  <c:v>0.95800000000000063</c:v>
                </c:pt>
              </c:numCache>
            </c:numRef>
          </c:val>
        </c:ser>
        <c:axId val="81629952"/>
        <c:axId val="81631488"/>
      </c:areaChart>
      <c:catAx>
        <c:axId val="81629952"/>
        <c:scaling>
          <c:orientation val="minMax"/>
        </c:scaling>
        <c:axPos val="b"/>
        <c:majorTickMark val="none"/>
        <c:tickLblPos val="nextTo"/>
        <c:crossAx val="81631488"/>
        <c:crosses val="autoZero"/>
        <c:auto val="1"/>
        <c:lblAlgn val="ctr"/>
        <c:lblOffset val="100"/>
      </c:catAx>
      <c:valAx>
        <c:axId val="81631488"/>
        <c:scaling>
          <c:orientation val="minMax"/>
        </c:scaling>
        <c:axPos val="l"/>
        <c:majorGridlines/>
        <c:numFmt formatCode="0.00%" sourceLinked="1"/>
        <c:majorTickMark val="none"/>
        <c:tickLblPos val="nextTo"/>
        <c:crossAx val="81629952"/>
        <c:crosses val="autoZero"/>
        <c:crossBetween val="midCat"/>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3 A</a:t>
            </a:r>
          </a:p>
        </c:rich>
      </c:tx>
      <c:layout/>
    </c:title>
    <c:plotArea>
      <c:layout/>
      <c:barChart>
        <c:barDir val="bar"/>
        <c:grouping val="clustered"/>
        <c:ser>
          <c:idx val="0"/>
          <c:order val="0"/>
          <c:tx>
            <c:strRef>
              <c:f>Plan1!$B$62:$D$62</c:f>
              <c:strCache>
                <c:ptCount val="1"/>
                <c:pt idx="0">
                  <c:v>meta </c:v>
                </c:pt>
              </c:strCache>
            </c:strRef>
          </c:tx>
          <c:cat>
            <c:numRef>
              <c:f>Plan1!$E$61:$G$61</c:f>
              <c:numCache>
                <c:formatCode>General</c:formatCode>
                <c:ptCount val="3"/>
                <c:pt idx="0">
                  <c:v>2016</c:v>
                </c:pt>
                <c:pt idx="1">
                  <c:v>2017</c:v>
                </c:pt>
                <c:pt idx="2">
                  <c:v>2018</c:v>
                </c:pt>
              </c:numCache>
            </c:numRef>
          </c:cat>
          <c:val>
            <c:numRef>
              <c:f>Plan1!$E$62:$G$62</c:f>
              <c:numCache>
                <c:formatCode>0%</c:formatCode>
                <c:ptCount val="3"/>
                <c:pt idx="0">
                  <c:v>1</c:v>
                </c:pt>
                <c:pt idx="1">
                  <c:v>1</c:v>
                </c:pt>
                <c:pt idx="2">
                  <c:v>1</c:v>
                </c:pt>
              </c:numCache>
            </c:numRef>
          </c:val>
        </c:ser>
        <c:ser>
          <c:idx val="1"/>
          <c:order val="1"/>
          <c:tx>
            <c:strRef>
              <c:f>Plan1!$B$63:$D$63</c:f>
              <c:strCache>
                <c:ptCount val="1"/>
                <c:pt idx="0">
                  <c:v>alcançado</c:v>
                </c:pt>
              </c:strCache>
            </c:strRef>
          </c:tx>
          <c:cat>
            <c:numRef>
              <c:f>Plan1!$E$61:$G$61</c:f>
              <c:numCache>
                <c:formatCode>General</c:formatCode>
                <c:ptCount val="3"/>
                <c:pt idx="0">
                  <c:v>2016</c:v>
                </c:pt>
                <c:pt idx="1">
                  <c:v>2017</c:v>
                </c:pt>
                <c:pt idx="2">
                  <c:v>2018</c:v>
                </c:pt>
              </c:numCache>
            </c:numRef>
          </c:cat>
          <c:val>
            <c:numRef>
              <c:f>Plan1!$E$63:$G$63</c:f>
              <c:numCache>
                <c:formatCode>0%</c:formatCode>
                <c:ptCount val="3"/>
                <c:pt idx="0" formatCode="0.00%">
                  <c:v>0.88700000000000001</c:v>
                </c:pt>
                <c:pt idx="1">
                  <c:v>0.95000000000000062</c:v>
                </c:pt>
                <c:pt idx="2">
                  <c:v>1</c:v>
                </c:pt>
              </c:numCache>
            </c:numRef>
          </c:val>
        </c:ser>
        <c:axId val="84819328"/>
        <c:axId val="84833408"/>
      </c:barChart>
      <c:catAx>
        <c:axId val="84819328"/>
        <c:scaling>
          <c:orientation val="minMax"/>
        </c:scaling>
        <c:axPos val="l"/>
        <c:numFmt formatCode="General" sourceLinked="1"/>
        <c:majorTickMark val="none"/>
        <c:tickLblPos val="nextTo"/>
        <c:crossAx val="84833408"/>
        <c:crosses val="autoZero"/>
        <c:auto val="1"/>
        <c:lblAlgn val="ctr"/>
        <c:lblOffset val="100"/>
      </c:catAx>
      <c:valAx>
        <c:axId val="84833408"/>
        <c:scaling>
          <c:orientation val="minMax"/>
        </c:scaling>
        <c:axPos val="b"/>
        <c:majorGridlines/>
        <c:numFmt formatCode="0%" sourceLinked="1"/>
        <c:majorTickMark val="none"/>
        <c:tickLblPos val="nextTo"/>
        <c:crossAx val="84819328"/>
        <c:crosses val="autoZero"/>
        <c:crossBetween val="between"/>
      </c:val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3B</a:t>
            </a:r>
          </a:p>
        </c:rich>
      </c:tx>
      <c:layout/>
    </c:title>
    <c:plotArea>
      <c:layout>
        <c:manualLayout>
          <c:layoutTarget val="inner"/>
          <c:xMode val="edge"/>
          <c:yMode val="edge"/>
          <c:x val="0.10260803737293749"/>
          <c:y val="0.28503970984209498"/>
          <c:w val="0.86956147559354136"/>
          <c:h val="0.69770031173287805"/>
        </c:manualLayout>
      </c:layout>
      <c:barChart>
        <c:barDir val="bar"/>
        <c:grouping val="clustered"/>
        <c:ser>
          <c:idx val="0"/>
          <c:order val="0"/>
          <c:tx>
            <c:strRef>
              <c:f>Plan2!$A$3</c:f>
              <c:strCache>
                <c:ptCount val="1"/>
                <c:pt idx="0">
                  <c:v>Meta</c:v>
                </c:pt>
              </c:strCache>
            </c:strRef>
          </c:tx>
          <c:dLbls>
            <c:showVal val="1"/>
          </c:dLbls>
          <c:cat>
            <c:numRef>
              <c:f>Plan2!$B$2:$J$2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Plan2!$B$3:$J$3</c:f>
              <c:numCache>
                <c:formatCode>0%</c:formatCode>
                <c:ptCount val="9"/>
                <c:pt idx="0">
                  <c:v>1</c:v>
                </c:pt>
                <c:pt idx="1">
                  <c:v>1</c:v>
                </c:pt>
                <c:pt idx="2">
                  <c:v>1</c:v>
                </c:pt>
                <c:pt idx="3">
                  <c:v>1</c:v>
                </c:pt>
                <c:pt idx="4">
                  <c:v>1</c:v>
                </c:pt>
                <c:pt idx="5">
                  <c:v>1</c:v>
                </c:pt>
                <c:pt idx="6">
                  <c:v>1</c:v>
                </c:pt>
                <c:pt idx="7">
                  <c:v>1</c:v>
                </c:pt>
                <c:pt idx="8">
                  <c:v>1</c:v>
                </c:pt>
              </c:numCache>
            </c:numRef>
          </c:val>
        </c:ser>
        <c:ser>
          <c:idx val="1"/>
          <c:order val="1"/>
          <c:tx>
            <c:strRef>
              <c:f>Plan2!$A$4</c:f>
              <c:strCache>
                <c:ptCount val="1"/>
                <c:pt idx="0">
                  <c:v>Alcançado</c:v>
                </c:pt>
              </c:strCache>
            </c:strRef>
          </c:tx>
          <c:dLbls>
            <c:showVal val="1"/>
          </c:dLbls>
          <c:cat>
            <c:numRef>
              <c:f>Plan2!$B$2:$J$2</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Plan2!$B$4:$J$4</c:f>
              <c:numCache>
                <c:formatCode>0%</c:formatCode>
                <c:ptCount val="9"/>
                <c:pt idx="0" formatCode="0.00%">
                  <c:v>0.59099999999999997</c:v>
                </c:pt>
                <c:pt idx="1">
                  <c:v>0.63000000000000178</c:v>
                </c:pt>
                <c:pt idx="2">
                  <c:v>0.68</c:v>
                </c:pt>
                <c:pt idx="3">
                  <c:v>0.73000000000000065</c:v>
                </c:pt>
                <c:pt idx="4">
                  <c:v>0.79</c:v>
                </c:pt>
                <c:pt idx="5">
                  <c:v>0.84000000000000064</c:v>
                </c:pt>
                <c:pt idx="6">
                  <c:v>0.89</c:v>
                </c:pt>
                <c:pt idx="7">
                  <c:v>0.95000000000000062</c:v>
                </c:pt>
                <c:pt idx="8">
                  <c:v>1</c:v>
                </c:pt>
              </c:numCache>
            </c:numRef>
          </c:val>
        </c:ser>
        <c:dLbls>
          <c:showVal val="1"/>
        </c:dLbls>
        <c:overlap val="-25"/>
        <c:axId val="84860288"/>
        <c:axId val="33035392"/>
      </c:barChart>
      <c:catAx>
        <c:axId val="84860288"/>
        <c:scaling>
          <c:orientation val="minMax"/>
        </c:scaling>
        <c:axPos val="l"/>
        <c:numFmt formatCode="General" sourceLinked="1"/>
        <c:majorTickMark val="none"/>
        <c:tickLblPos val="nextTo"/>
        <c:crossAx val="33035392"/>
        <c:crosses val="autoZero"/>
        <c:auto val="1"/>
        <c:lblAlgn val="ctr"/>
        <c:lblOffset val="100"/>
      </c:catAx>
      <c:valAx>
        <c:axId val="33035392"/>
        <c:scaling>
          <c:orientation val="minMax"/>
        </c:scaling>
        <c:delete val="1"/>
        <c:axPos val="b"/>
        <c:numFmt formatCode="0%" sourceLinked="1"/>
        <c:tickLblPos val="nextTo"/>
        <c:crossAx val="84860288"/>
        <c:crosses val="autoZero"/>
        <c:crossBetween val="between"/>
      </c:valAx>
    </c:plotArea>
    <c:legend>
      <c:legendPos val="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4A</a:t>
            </a:r>
          </a:p>
        </c:rich>
      </c:tx>
      <c:layout/>
    </c:title>
    <c:view3D>
      <c:rAngAx val="1"/>
    </c:view3D>
    <c:plotArea>
      <c:layout/>
      <c:bar3DChart>
        <c:barDir val="bar"/>
        <c:grouping val="clustered"/>
        <c:ser>
          <c:idx val="0"/>
          <c:order val="0"/>
          <c:tx>
            <c:strRef>
              <c:f>Plan1!$A$3</c:f>
              <c:strCache>
                <c:ptCount val="1"/>
                <c:pt idx="0">
                  <c:v>Meta   </c:v>
                </c:pt>
              </c:strCache>
            </c:strRef>
          </c:tx>
          <c:cat>
            <c:numRef>
              <c:f>Plan1!$B$2:$F$2</c:f>
              <c:numCache>
                <c:formatCode>General</c:formatCode>
                <c:ptCount val="5"/>
                <c:pt idx="0">
                  <c:v>2016</c:v>
                </c:pt>
                <c:pt idx="1">
                  <c:v>2017</c:v>
                </c:pt>
                <c:pt idx="2">
                  <c:v>2018</c:v>
                </c:pt>
                <c:pt idx="3">
                  <c:v>2019</c:v>
                </c:pt>
                <c:pt idx="4">
                  <c:v>2020</c:v>
                </c:pt>
              </c:numCache>
            </c:numRef>
          </c:cat>
          <c:val>
            <c:numRef>
              <c:f>Plan1!$B$3:$F$3</c:f>
              <c:numCache>
                <c:formatCode>0%</c:formatCode>
                <c:ptCount val="5"/>
                <c:pt idx="0">
                  <c:v>1</c:v>
                </c:pt>
                <c:pt idx="1">
                  <c:v>1</c:v>
                </c:pt>
                <c:pt idx="2">
                  <c:v>1</c:v>
                </c:pt>
                <c:pt idx="3">
                  <c:v>1</c:v>
                </c:pt>
                <c:pt idx="4">
                  <c:v>1</c:v>
                </c:pt>
              </c:numCache>
            </c:numRef>
          </c:val>
        </c:ser>
        <c:ser>
          <c:idx val="1"/>
          <c:order val="1"/>
          <c:tx>
            <c:strRef>
              <c:f>Plan1!$A$4</c:f>
              <c:strCache>
                <c:ptCount val="1"/>
                <c:pt idx="0">
                  <c:v>Alcançado</c:v>
                </c:pt>
              </c:strCache>
            </c:strRef>
          </c:tx>
          <c:cat>
            <c:numRef>
              <c:f>Plan1!$B$2:$F$2</c:f>
              <c:numCache>
                <c:formatCode>General</c:formatCode>
                <c:ptCount val="5"/>
                <c:pt idx="0">
                  <c:v>2016</c:v>
                </c:pt>
                <c:pt idx="1">
                  <c:v>2017</c:v>
                </c:pt>
                <c:pt idx="2">
                  <c:v>2018</c:v>
                </c:pt>
                <c:pt idx="3">
                  <c:v>2019</c:v>
                </c:pt>
                <c:pt idx="4">
                  <c:v>2020</c:v>
                </c:pt>
              </c:numCache>
            </c:numRef>
          </c:cat>
          <c:val>
            <c:numRef>
              <c:f>Plan1!$B$4:$F$4</c:f>
              <c:numCache>
                <c:formatCode>0%</c:formatCode>
                <c:ptCount val="5"/>
                <c:pt idx="0" formatCode="0.00%">
                  <c:v>0.79400000000000004</c:v>
                </c:pt>
                <c:pt idx="1">
                  <c:v>0.85000000000000064</c:v>
                </c:pt>
                <c:pt idx="2">
                  <c:v>0.9</c:v>
                </c:pt>
                <c:pt idx="3">
                  <c:v>0.95000000000000062</c:v>
                </c:pt>
                <c:pt idx="4">
                  <c:v>1</c:v>
                </c:pt>
              </c:numCache>
            </c:numRef>
          </c:val>
        </c:ser>
        <c:shape val="box"/>
        <c:axId val="33048832"/>
        <c:axId val="33062912"/>
        <c:axId val="0"/>
      </c:bar3DChart>
      <c:catAx>
        <c:axId val="33048832"/>
        <c:scaling>
          <c:orientation val="minMax"/>
        </c:scaling>
        <c:axPos val="l"/>
        <c:numFmt formatCode="General" sourceLinked="1"/>
        <c:majorTickMark val="none"/>
        <c:tickLblPos val="nextTo"/>
        <c:crossAx val="33062912"/>
        <c:crosses val="autoZero"/>
        <c:auto val="1"/>
        <c:lblAlgn val="ctr"/>
        <c:lblOffset val="100"/>
      </c:catAx>
      <c:valAx>
        <c:axId val="33062912"/>
        <c:scaling>
          <c:orientation val="minMax"/>
        </c:scaling>
        <c:axPos val="b"/>
        <c:majorGridlines/>
        <c:numFmt formatCode="0%" sourceLinked="1"/>
        <c:majorTickMark val="none"/>
        <c:tickLblPos val="nextTo"/>
        <c:crossAx val="33048832"/>
        <c:crosses val="autoZero"/>
        <c:crossBetween val="between"/>
      </c:valAx>
      <c:dTable>
        <c:showHorzBorder val="1"/>
        <c:showVertBorder val="1"/>
        <c:showOutline val="1"/>
        <c:showKeys val="1"/>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Indicador 4B</a:t>
            </a:r>
          </a:p>
        </c:rich>
      </c:tx>
      <c:layout/>
    </c:title>
    <c:plotArea>
      <c:layout/>
      <c:barChart>
        <c:barDir val="col"/>
        <c:grouping val="clustered"/>
        <c:ser>
          <c:idx val="0"/>
          <c:order val="0"/>
          <c:tx>
            <c:strRef>
              <c:f>Plan1!$B$10</c:f>
              <c:strCache>
                <c:ptCount val="1"/>
                <c:pt idx="0">
                  <c:v>2016</c:v>
                </c:pt>
              </c:strCache>
            </c:strRef>
          </c:tx>
          <c:cat>
            <c:strRef>
              <c:f>Plan1!$A$11:$A$12</c:f>
              <c:strCache>
                <c:ptCount val="2"/>
                <c:pt idx="0">
                  <c:v>Meta   </c:v>
                </c:pt>
                <c:pt idx="1">
                  <c:v>Alcançado</c:v>
                </c:pt>
              </c:strCache>
            </c:strRef>
          </c:cat>
          <c:val>
            <c:numRef>
              <c:f>Plan1!$B$11:$B$12</c:f>
              <c:numCache>
                <c:formatCode>0%</c:formatCode>
                <c:ptCount val="2"/>
                <c:pt idx="0">
                  <c:v>1</c:v>
                </c:pt>
                <c:pt idx="1">
                  <c:v>1</c:v>
                </c:pt>
              </c:numCache>
            </c:numRef>
          </c:val>
        </c:ser>
        <c:axId val="33092352"/>
        <c:axId val="33093888"/>
      </c:barChart>
      <c:catAx>
        <c:axId val="33092352"/>
        <c:scaling>
          <c:orientation val="minMax"/>
        </c:scaling>
        <c:axPos val="b"/>
        <c:majorTickMark val="none"/>
        <c:tickLblPos val="nextTo"/>
        <c:crossAx val="33093888"/>
        <c:crosses val="autoZero"/>
        <c:auto val="1"/>
        <c:lblAlgn val="ctr"/>
        <c:lblOffset val="100"/>
      </c:catAx>
      <c:valAx>
        <c:axId val="33093888"/>
        <c:scaling>
          <c:orientation val="minMax"/>
        </c:scaling>
        <c:axPos val="l"/>
        <c:majorGridlines/>
        <c:title>
          <c:tx>
            <c:rich>
              <a:bodyPr/>
              <a:lstStyle/>
              <a:p>
                <a:pPr>
                  <a:defRPr/>
                </a:pPr>
                <a:r>
                  <a:rPr lang="pt-BR"/>
                  <a:t>Percentual</a:t>
                </a:r>
              </a:p>
            </c:rich>
          </c:tx>
          <c:layout/>
        </c:title>
        <c:numFmt formatCode="0%" sourceLinked="1"/>
        <c:majorTickMark val="none"/>
        <c:tickLblPos val="nextTo"/>
        <c:crossAx val="33092352"/>
        <c:crosses val="autoZero"/>
        <c:crossBetween val="between"/>
      </c:valAx>
      <c:dTable>
        <c:showHorzBorder val="1"/>
        <c:showVertBorder val="1"/>
        <c:showOutline val="1"/>
        <c:showKeys val="1"/>
      </c:dTable>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Indicador 5C</a:t>
            </a:r>
          </a:p>
        </c:rich>
      </c:tx>
      <c:layout/>
    </c:title>
    <c:plotArea>
      <c:layout/>
      <c:barChart>
        <c:barDir val="col"/>
        <c:grouping val="stacked"/>
        <c:ser>
          <c:idx val="0"/>
          <c:order val="0"/>
          <c:tx>
            <c:strRef>
              <c:f>Plan2!$A$16</c:f>
              <c:strCache>
                <c:ptCount val="1"/>
                <c:pt idx="0">
                  <c:v>meta  </c:v>
                </c:pt>
              </c:strCache>
            </c:strRef>
          </c:tx>
          <c:cat>
            <c:numRef>
              <c:f>Plan2!$B$15:$E$15</c:f>
              <c:numCache>
                <c:formatCode>General</c:formatCode>
                <c:ptCount val="4"/>
                <c:pt idx="0">
                  <c:v>2016</c:v>
                </c:pt>
                <c:pt idx="1">
                  <c:v>2017</c:v>
                </c:pt>
                <c:pt idx="2">
                  <c:v>2018</c:v>
                </c:pt>
                <c:pt idx="3">
                  <c:v>2019</c:v>
                </c:pt>
              </c:numCache>
            </c:numRef>
          </c:cat>
          <c:val>
            <c:numRef>
              <c:f>Plan2!$B$16:$E$16</c:f>
              <c:numCache>
                <c:formatCode>0%</c:formatCode>
                <c:ptCount val="4"/>
                <c:pt idx="0">
                  <c:v>0</c:v>
                </c:pt>
                <c:pt idx="1">
                  <c:v>0</c:v>
                </c:pt>
                <c:pt idx="2">
                  <c:v>0</c:v>
                </c:pt>
                <c:pt idx="3">
                  <c:v>0</c:v>
                </c:pt>
              </c:numCache>
            </c:numRef>
          </c:val>
        </c:ser>
        <c:ser>
          <c:idx val="1"/>
          <c:order val="1"/>
          <c:tx>
            <c:strRef>
              <c:f>Plan2!$A$17</c:f>
              <c:strCache>
                <c:ptCount val="1"/>
                <c:pt idx="0">
                  <c:v>alcançado</c:v>
                </c:pt>
              </c:strCache>
            </c:strRef>
          </c:tx>
          <c:cat>
            <c:numRef>
              <c:f>Plan2!$B$15:$E$15</c:f>
              <c:numCache>
                <c:formatCode>General</c:formatCode>
                <c:ptCount val="4"/>
                <c:pt idx="0">
                  <c:v>2016</c:v>
                </c:pt>
                <c:pt idx="1">
                  <c:v>2017</c:v>
                </c:pt>
                <c:pt idx="2">
                  <c:v>2018</c:v>
                </c:pt>
                <c:pt idx="3">
                  <c:v>2019</c:v>
                </c:pt>
              </c:numCache>
            </c:numRef>
          </c:cat>
          <c:val>
            <c:numRef>
              <c:f>Plan2!$B$17:$E$17</c:f>
              <c:numCache>
                <c:formatCode>0%</c:formatCode>
                <c:ptCount val="4"/>
                <c:pt idx="0">
                  <c:v>0.1</c:v>
                </c:pt>
                <c:pt idx="1">
                  <c:v>8.0000000000000043E-2</c:v>
                </c:pt>
                <c:pt idx="2">
                  <c:v>0.05</c:v>
                </c:pt>
                <c:pt idx="3">
                  <c:v>0</c:v>
                </c:pt>
              </c:numCache>
            </c:numRef>
          </c:val>
        </c:ser>
        <c:gapWidth val="95"/>
        <c:overlap val="100"/>
        <c:axId val="33005568"/>
        <c:axId val="33007104"/>
      </c:barChart>
      <c:catAx>
        <c:axId val="33005568"/>
        <c:scaling>
          <c:orientation val="minMax"/>
        </c:scaling>
        <c:axPos val="b"/>
        <c:numFmt formatCode="General" sourceLinked="1"/>
        <c:majorTickMark val="none"/>
        <c:tickLblPos val="nextTo"/>
        <c:crossAx val="33007104"/>
        <c:crosses val="autoZero"/>
        <c:auto val="1"/>
        <c:lblAlgn val="ctr"/>
        <c:lblOffset val="100"/>
      </c:catAx>
      <c:valAx>
        <c:axId val="33007104"/>
        <c:scaling>
          <c:orientation val="minMax"/>
        </c:scaling>
        <c:axPos val="l"/>
        <c:majorGridlines/>
        <c:title>
          <c:tx>
            <c:rich>
              <a:bodyPr/>
              <a:lstStyle/>
              <a:p>
                <a:pPr>
                  <a:defRPr/>
                </a:pPr>
                <a:r>
                  <a:rPr lang="pt-BR"/>
                  <a:t>Percentual</a:t>
                </a:r>
              </a:p>
            </c:rich>
          </c:tx>
          <c:layout/>
        </c:title>
        <c:numFmt formatCode="0%" sourceLinked="1"/>
        <c:majorTickMark val="none"/>
        <c:tickLblPos val="nextTo"/>
        <c:crossAx val="33005568"/>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F5F97-6AD2-40E1-8E38-F2745A58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102</Pages>
  <Words>24420</Words>
  <Characters>131868</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Educacao 01</dc:creator>
  <cp:lastModifiedBy>Daniel</cp:lastModifiedBy>
  <cp:revision>58</cp:revision>
  <cp:lastPrinted>2017-09-13T21:16:00Z</cp:lastPrinted>
  <dcterms:created xsi:type="dcterms:W3CDTF">2017-10-31T09:33:00Z</dcterms:created>
  <dcterms:modified xsi:type="dcterms:W3CDTF">2017-11-07T11:16:00Z</dcterms:modified>
</cp:coreProperties>
</file>